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C43C4">
      <w:pPr>
        <w:spacing w:line="360" w:lineRule="auto"/>
        <w:jc w:val="center"/>
        <w:rPr>
          <w:rFonts w:hint="eastAsia"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西安石油大学202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6</w:t>
      </w:r>
      <w:bookmarkStart w:id="1" w:name="_GoBack"/>
      <w:bookmarkEnd w:id="1"/>
      <w:r>
        <w:rPr>
          <w:rFonts w:hint="eastAsia" w:ascii="黑体" w:hAnsi="黑体" w:eastAsia="黑体"/>
          <w:b/>
          <w:color w:val="252525"/>
          <w:sz w:val="36"/>
          <w:szCs w:val="36"/>
        </w:rPr>
        <w:t>年硕士研究生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 w14:paraId="66167D74">
      <w:pPr>
        <w:spacing w:line="360" w:lineRule="auto"/>
        <w:jc w:val="left"/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>831经济学（含微观经济学与宏观经济学</w:t>
      </w:r>
      <w:r>
        <w:rPr>
          <w:rFonts w:ascii="黑体" w:hAnsi="黑体" w:eastAsia="黑体"/>
          <w:b/>
          <w:color w:val="252525"/>
          <w:sz w:val="36"/>
          <w:szCs w:val="36"/>
          <w:u w:val="single"/>
        </w:rPr>
        <w:t>）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 w14:paraId="50BC7667">
      <w:pPr>
        <w:spacing w:before="312" w:beforeLines="100"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 w14:paraId="5C25FA54">
      <w:pPr>
        <w:spacing w:line="360" w:lineRule="auto"/>
        <w:ind w:firstLine="450" w:firstLineChars="15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“经济学（含微观经济学与宏观经济学）”入学考试是为招收应用经济学硕士生而实施的选拔性考试。</w:t>
      </w:r>
      <w:r>
        <w:rPr>
          <w:rFonts w:ascii="仿宋" w:hAnsi="仿宋" w:eastAsia="仿宋"/>
          <w:sz w:val="30"/>
          <w:szCs w:val="30"/>
        </w:rPr>
        <w:t>其主要目的是考查考生对</w:t>
      </w:r>
      <w:r>
        <w:rPr>
          <w:rFonts w:hint="eastAsia" w:ascii="仿宋" w:hAnsi="仿宋" w:eastAsia="仿宋"/>
          <w:sz w:val="30"/>
          <w:szCs w:val="30"/>
        </w:rPr>
        <w:t>微观经济学和宏观经济学</w:t>
      </w:r>
      <w:r>
        <w:rPr>
          <w:rFonts w:ascii="仿宋" w:hAnsi="仿宋" w:eastAsia="仿宋"/>
          <w:sz w:val="30"/>
          <w:szCs w:val="30"/>
        </w:rPr>
        <w:t>各项内容的理解和掌握的程度。</w:t>
      </w:r>
      <w:r>
        <w:rPr>
          <w:rFonts w:hint="eastAsia" w:ascii="仿宋" w:hAnsi="仿宋" w:eastAsia="仿宋"/>
          <w:sz w:val="30"/>
          <w:szCs w:val="30"/>
        </w:rPr>
        <w:t>要求考生能够系统地掌握微观经济学和宏观经济学的基本知识，并具备运用所学的知识分析现实经济问题和解决问题的能力。</w:t>
      </w:r>
    </w:p>
    <w:p w14:paraId="3545B2D3">
      <w:pPr>
        <w:spacing w:before="156" w:beforeLines="50"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76E1D670">
      <w:pPr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微观经济学部分：</w:t>
      </w:r>
    </w:p>
    <w:p w14:paraId="6EBC1C77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第一部分绪论</w:t>
      </w:r>
    </w:p>
    <w:p w14:paraId="32C45255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bookmarkStart w:id="0" w:name="_Hlk176680180"/>
      <w:r>
        <w:rPr>
          <w:rFonts w:hint="eastAsia" w:eastAsia="仿宋"/>
          <w:sz w:val="30"/>
          <w:szCs w:val="30"/>
        </w:rPr>
        <w:t>.</w:t>
      </w:r>
      <w:bookmarkEnd w:id="0"/>
      <w:r>
        <w:rPr>
          <w:rFonts w:eastAsia="仿宋"/>
          <w:sz w:val="30"/>
          <w:szCs w:val="30"/>
        </w:rPr>
        <w:t xml:space="preserve"> 经济学的产生和发展</w:t>
      </w:r>
    </w:p>
    <w:p w14:paraId="71D5DA6C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经济学的研究对象和主要内容</w:t>
      </w:r>
    </w:p>
    <w:p w14:paraId="2F089067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经济学的研究方法</w:t>
      </w:r>
    </w:p>
    <w:p w14:paraId="161465B8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第二部分均衡价格理论</w:t>
      </w:r>
    </w:p>
    <w:p w14:paraId="07759091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需求原理</w:t>
      </w:r>
    </w:p>
    <w:p w14:paraId="2A8C8FC0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供给原理</w:t>
      </w:r>
    </w:p>
    <w:p w14:paraId="1EC3CED4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供求均衡——价格的决定</w:t>
      </w:r>
    </w:p>
    <w:p w14:paraId="2FEF9889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4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弹性理论</w:t>
      </w:r>
    </w:p>
    <w:p w14:paraId="7460B47D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第三部分消费者行为理论</w:t>
      </w:r>
    </w:p>
    <w:p w14:paraId="5467C60B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消费者行为及其目标</w:t>
      </w:r>
    </w:p>
    <w:p w14:paraId="605553C8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边际效用分析</w:t>
      </w:r>
    </w:p>
    <w:p w14:paraId="385C12A0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无差异曲线分析</w:t>
      </w:r>
    </w:p>
    <w:p w14:paraId="7BB04C1E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第四部分生产者行为理论</w:t>
      </w:r>
    </w:p>
    <w:p w14:paraId="63A6462D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生产者行为及其目标</w:t>
      </w:r>
    </w:p>
    <w:p w14:paraId="2B467C9C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生产理论</w:t>
      </w:r>
    </w:p>
    <w:p w14:paraId="1F9BF1ED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成本理论</w:t>
      </w:r>
    </w:p>
    <w:p w14:paraId="7AC5FD10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4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利润最大化原则</w:t>
      </w:r>
    </w:p>
    <w:p w14:paraId="422A2D56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第五部分市场结构理论</w:t>
      </w:r>
    </w:p>
    <w:p w14:paraId="62ED66C9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市场结构及其划分</w:t>
      </w:r>
    </w:p>
    <w:p w14:paraId="47C663B5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完全竞争市场</w:t>
      </w:r>
    </w:p>
    <w:p w14:paraId="75E4D851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完全垄断市场</w:t>
      </w:r>
    </w:p>
    <w:p w14:paraId="11B7DF69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4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垄断竞争市场</w:t>
      </w:r>
    </w:p>
    <w:p w14:paraId="1B99D79C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5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寡头垄断市场</w:t>
      </w:r>
    </w:p>
    <w:p w14:paraId="1C848897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第六部分要素价格理论</w:t>
      </w:r>
    </w:p>
    <w:p w14:paraId="10E286F1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要素价格决定的一般原理</w:t>
      </w:r>
    </w:p>
    <w:p w14:paraId="7DC91128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生产要素的价格</w:t>
      </w:r>
    </w:p>
    <w:p w14:paraId="163CD672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收入分配的结果</w:t>
      </w:r>
      <w:r>
        <w:rPr>
          <w:rFonts w:hint="eastAsia" w:eastAsia="仿宋"/>
          <w:sz w:val="30"/>
          <w:szCs w:val="30"/>
        </w:rPr>
        <w:t>及调节</w:t>
      </w:r>
    </w:p>
    <w:p w14:paraId="129EC289">
      <w:pPr>
        <w:spacing w:line="360" w:lineRule="auto"/>
        <w:outlineLvl w:val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第七部分市场失灵与微观经济政策</w:t>
      </w:r>
    </w:p>
    <w:p w14:paraId="0BE5165E">
      <w:pPr>
        <w:spacing w:line="360" w:lineRule="auto"/>
        <w:ind w:firstLine="300" w:firstLineChars="100"/>
        <w:rPr>
          <w:rFonts w:hint="eastAsia"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市场失灵</w:t>
      </w:r>
    </w:p>
    <w:p w14:paraId="2C32E356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垄断及其低效率</w:t>
      </w:r>
    </w:p>
    <w:p w14:paraId="3284F2B9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外部性及其纠正</w:t>
      </w:r>
    </w:p>
    <w:p w14:paraId="44895E60">
      <w:pPr>
        <w:spacing w:line="360" w:lineRule="auto"/>
        <w:ind w:firstLine="300" w:firstLineChars="100"/>
        <w:rPr>
          <w:rFonts w:hint="eastAsia" w:eastAsia="仿宋"/>
          <w:sz w:val="30"/>
          <w:szCs w:val="30"/>
        </w:rPr>
      </w:pPr>
      <w:r>
        <w:rPr>
          <w:rFonts w:eastAsia="仿宋"/>
          <w:sz w:val="30"/>
          <w:szCs w:val="30"/>
        </w:rPr>
        <w:t>4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公共</w:t>
      </w:r>
      <w:r>
        <w:rPr>
          <w:rFonts w:hint="eastAsia" w:eastAsia="仿宋"/>
          <w:sz w:val="30"/>
          <w:szCs w:val="30"/>
        </w:rPr>
        <w:t>物品和公共资源</w:t>
      </w:r>
    </w:p>
    <w:p w14:paraId="1EB90F98">
      <w:pPr>
        <w:spacing w:line="360" w:lineRule="auto"/>
        <w:ind w:firstLine="300" w:firstLineChars="100"/>
        <w:rPr>
          <w:rFonts w:hint="eastAsia" w:eastAsia="仿宋"/>
          <w:sz w:val="30"/>
          <w:szCs w:val="30"/>
        </w:rPr>
      </w:pPr>
      <w:r>
        <w:rPr>
          <w:rFonts w:eastAsia="仿宋"/>
          <w:sz w:val="30"/>
          <w:szCs w:val="30"/>
        </w:rPr>
        <w:t>5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</w:t>
      </w:r>
      <w:r>
        <w:rPr>
          <w:rFonts w:hint="eastAsia" w:eastAsia="仿宋"/>
          <w:sz w:val="30"/>
          <w:szCs w:val="30"/>
        </w:rPr>
        <w:t>信息不完全和不对称</w:t>
      </w:r>
    </w:p>
    <w:p w14:paraId="38157DE9">
      <w:pPr>
        <w:tabs>
          <w:tab w:val="left" w:pos="900"/>
        </w:tabs>
        <w:spacing w:before="312" w:beforeLines="100" w:after="156" w:afterLines="50"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宏观经济学部分：</w:t>
      </w:r>
    </w:p>
    <w:p w14:paraId="133CAC9E">
      <w:pPr>
        <w:tabs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第一部分国民收入核算理论</w:t>
      </w:r>
    </w:p>
    <w:p w14:paraId="324DD0D4">
      <w:pPr>
        <w:tabs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GDP及其核算方法</w:t>
      </w:r>
    </w:p>
    <w:p w14:paraId="021E244A">
      <w:pPr>
        <w:tabs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国民经济中的其他总量指标</w:t>
      </w:r>
    </w:p>
    <w:p w14:paraId="78D05108">
      <w:pPr>
        <w:tabs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3. GDP核算的局限性及其纠正</w:t>
      </w:r>
    </w:p>
    <w:p w14:paraId="15910491">
      <w:pPr>
        <w:tabs>
          <w:tab w:val="left" w:pos="540"/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第二部分简单国民收入决定理论</w:t>
      </w:r>
    </w:p>
    <w:p w14:paraId="63A0E557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消费、储蓄与投资</w:t>
      </w:r>
    </w:p>
    <w:p w14:paraId="2ECEFA44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国民收入的均衡决定</w:t>
      </w:r>
    </w:p>
    <w:p w14:paraId="6A6EC685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hint="eastAsia"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</w:t>
      </w:r>
      <w:r>
        <w:rPr>
          <w:rFonts w:hint="eastAsia" w:eastAsia="仿宋"/>
          <w:sz w:val="30"/>
          <w:szCs w:val="30"/>
        </w:rPr>
        <w:t>乘数理论</w:t>
      </w:r>
    </w:p>
    <w:p w14:paraId="39B5832B">
      <w:pPr>
        <w:tabs>
          <w:tab w:val="left" w:pos="540"/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第三部分产品市场与货币市场的一般均衡</w:t>
      </w:r>
    </w:p>
    <w:p w14:paraId="6F93BC3B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产品市场的均衡：IS曲线</w:t>
      </w:r>
    </w:p>
    <w:p w14:paraId="277E9618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货币市场的均衡：LM曲线</w:t>
      </w:r>
    </w:p>
    <w:p w14:paraId="740D1EAE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两个市场的同时均衡</w:t>
      </w:r>
    </w:p>
    <w:p w14:paraId="52608411">
      <w:pPr>
        <w:tabs>
          <w:tab w:val="left" w:pos="540"/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第四部分总需求-总供给模型</w:t>
      </w:r>
    </w:p>
    <w:p w14:paraId="02F6455B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总需求与总需求曲线</w:t>
      </w:r>
    </w:p>
    <w:p w14:paraId="676672B9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总供给与总供给曲线</w:t>
      </w:r>
    </w:p>
    <w:p w14:paraId="6252D502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总需求与总供给的均衡</w:t>
      </w:r>
    </w:p>
    <w:p w14:paraId="3471C192">
      <w:pPr>
        <w:tabs>
          <w:tab w:val="left" w:pos="540"/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第五部分失业与通货膨胀理论</w:t>
      </w:r>
    </w:p>
    <w:p w14:paraId="0DBA2C3E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失业理论</w:t>
      </w:r>
    </w:p>
    <w:p w14:paraId="7D10E047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通货膨胀理论</w:t>
      </w:r>
    </w:p>
    <w:p w14:paraId="4A20E6D4">
      <w:pPr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失业与通货膨胀的关系</w:t>
      </w:r>
    </w:p>
    <w:p w14:paraId="7FDEBB78">
      <w:pPr>
        <w:tabs>
          <w:tab w:val="left" w:pos="540"/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第六部分经济增长与经济周期理论</w:t>
      </w:r>
    </w:p>
    <w:p w14:paraId="592841BD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经济增长理论</w:t>
      </w:r>
    </w:p>
    <w:p w14:paraId="48561EAF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经济周期理论</w:t>
      </w:r>
    </w:p>
    <w:p w14:paraId="34CBE086">
      <w:pPr>
        <w:tabs>
          <w:tab w:val="left" w:pos="540"/>
          <w:tab w:val="left" w:pos="900"/>
        </w:tabs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第七部分宏观经济政策</w:t>
      </w:r>
    </w:p>
    <w:p w14:paraId="314FBFFA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宏观经济政策的目标及工具</w:t>
      </w:r>
    </w:p>
    <w:p w14:paraId="155351D1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需求管理政策</w:t>
      </w:r>
    </w:p>
    <w:p w14:paraId="25B5AB53">
      <w:pPr>
        <w:tabs>
          <w:tab w:val="left" w:pos="540"/>
          <w:tab w:val="left" w:pos="900"/>
        </w:tabs>
        <w:spacing w:line="360" w:lineRule="auto"/>
        <w:ind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.</w:t>
      </w:r>
      <w:r>
        <w:rPr>
          <w:rFonts w:eastAsia="仿宋"/>
          <w:sz w:val="30"/>
          <w:szCs w:val="30"/>
        </w:rPr>
        <w:t xml:space="preserve"> 供给管理政策</w:t>
      </w:r>
    </w:p>
    <w:p w14:paraId="7160BA92">
      <w:pPr>
        <w:spacing w:before="156" w:beforeLines="50"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0890AC91">
      <w:pPr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考试形式为闭卷笔试</w:t>
      </w:r>
      <w:r>
        <w:rPr>
          <w:rFonts w:hint="eastAsia" w:eastAsia="仿宋"/>
          <w:sz w:val="30"/>
          <w:szCs w:val="30"/>
        </w:rPr>
        <w:t>，</w:t>
      </w:r>
      <w:r>
        <w:rPr>
          <w:rFonts w:eastAsia="仿宋"/>
          <w:sz w:val="30"/>
          <w:szCs w:val="30"/>
        </w:rPr>
        <w:t>考试时间为3小时。</w:t>
      </w:r>
    </w:p>
    <w:p w14:paraId="33B7D65A">
      <w:pPr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其中</w:t>
      </w:r>
      <w:r>
        <w:rPr>
          <w:rFonts w:hint="eastAsia" w:eastAsia="仿宋"/>
          <w:sz w:val="30"/>
          <w:szCs w:val="30"/>
        </w:rPr>
        <w:t>：</w:t>
      </w:r>
      <w:r>
        <w:rPr>
          <w:rFonts w:eastAsia="仿宋"/>
          <w:sz w:val="30"/>
          <w:szCs w:val="30"/>
        </w:rPr>
        <w:t>微观经济学</w:t>
      </w:r>
      <w:r>
        <w:rPr>
          <w:rFonts w:hint="eastAsia" w:eastAsia="仿宋"/>
          <w:sz w:val="30"/>
          <w:szCs w:val="30"/>
        </w:rPr>
        <w:t>占5</w:t>
      </w:r>
      <w:r>
        <w:rPr>
          <w:rFonts w:eastAsia="仿宋"/>
          <w:sz w:val="30"/>
          <w:szCs w:val="30"/>
        </w:rPr>
        <w:t>5</w:t>
      </w:r>
      <w:r>
        <w:rPr>
          <w:rFonts w:hint="eastAsia" w:eastAsia="仿宋"/>
          <w:sz w:val="30"/>
          <w:szCs w:val="30"/>
        </w:rPr>
        <w:t>%，</w:t>
      </w:r>
      <w:r>
        <w:rPr>
          <w:rFonts w:eastAsia="仿宋"/>
          <w:sz w:val="30"/>
          <w:szCs w:val="30"/>
        </w:rPr>
        <w:t>宏观经济学占</w:t>
      </w:r>
      <w:r>
        <w:rPr>
          <w:rFonts w:hint="eastAsia" w:eastAsia="仿宋"/>
          <w:sz w:val="30"/>
          <w:szCs w:val="30"/>
        </w:rPr>
        <w:t>4</w:t>
      </w:r>
      <w:r>
        <w:rPr>
          <w:rFonts w:eastAsia="仿宋"/>
          <w:sz w:val="30"/>
          <w:szCs w:val="30"/>
        </w:rPr>
        <w:t>5%。</w:t>
      </w:r>
    </w:p>
    <w:p w14:paraId="0DB8F95F">
      <w:pPr>
        <w:spacing w:line="560" w:lineRule="exac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657DB7F0">
      <w:pPr>
        <w:spacing w:line="360" w:lineRule="auto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zMmU3YzJmYmExOGU0ZTNjOWFjOWZmZjgxYjY2YTQifQ=="/>
  </w:docVars>
  <w:rsids>
    <w:rsidRoot w:val="23565D2A"/>
    <w:rsid w:val="00103F46"/>
    <w:rsid w:val="001415CB"/>
    <w:rsid w:val="00274415"/>
    <w:rsid w:val="003D5FD2"/>
    <w:rsid w:val="0048352B"/>
    <w:rsid w:val="004A373C"/>
    <w:rsid w:val="004A6C41"/>
    <w:rsid w:val="004B4FE1"/>
    <w:rsid w:val="004D1B88"/>
    <w:rsid w:val="004D679A"/>
    <w:rsid w:val="00631961"/>
    <w:rsid w:val="00683C9C"/>
    <w:rsid w:val="00705C2B"/>
    <w:rsid w:val="00776B02"/>
    <w:rsid w:val="009E0E7C"/>
    <w:rsid w:val="009F68DC"/>
    <w:rsid w:val="00A2204B"/>
    <w:rsid w:val="00A801F9"/>
    <w:rsid w:val="00A80DFE"/>
    <w:rsid w:val="00AA7AD1"/>
    <w:rsid w:val="00B7347F"/>
    <w:rsid w:val="00B86D46"/>
    <w:rsid w:val="00C9011B"/>
    <w:rsid w:val="00CB3440"/>
    <w:rsid w:val="00CF67DA"/>
    <w:rsid w:val="00E63A67"/>
    <w:rsid w:val="00F7421A"/>
    <w:rsid w:val="00FC3E6B"/>
    <w:rsid w:val="00FF3408"/>
    <w:rsid w:val="11900B2E"/>
    <w:rsid w:val="23565D2A"/>
    <w:rsid w:val="2BB16AB2"/>
    <w:rsid w:val="38A33319"/>
    <w:rsid w:val="4B767396"/>
    <w:rsid w:val="737A4B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829</Words>
  <Characters>892</Characters>
  <Lines>7</Lines>
  <Paragraphs>2</Paragraphs>
  <TotalTime>31</TotalTime>
  <ScaleCrop>false</ScaleCrop>
  <LinksUpToDate>false</LinksUpToDate>
  <CharactersWithSpaces>939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2023-09-07T10:08:00Z</dcterms:created>
  <dc:creator>码头喇叭</dc:creator>
  <cp:lastModifiedBy>杨沁宇</cp:lastModifiedBy>
  <cp:lastPrinted>2021-06-04T08:18:00Z</cp:lastPrinted>
  <dcterms:modified xsi:type="dcterms:W3CDTF">2025-09-30T12:52:26Z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