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C2C03C" w14:textId="77777777" w:rsidR="000C2D63" w:rsidRDefault="00EB36CF">
      <w:pPr>
        <w:pStyle w:val="a8"/>
        <w:ind w:left="960" w:firstLineChars="0" w:firstLine="0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福州大学</w:t>
      </w:r>
    </w:p>
    <w:p w14:paraId="50EF3E03" w14:textId="23F06DD4" w:rsidR="000C2D63" w:rsidRDefault="00EB36CF">
      <w:pPr>
        <w:pStyle w:val="a8"/>
        <w:ind w:left="960" w:firstLineChars="0" w:firstLine="0"/>
        <w:jc w:val="center"/>
        <w:rPr>
          <w:rFonts w:eastAsia="黑体"/>
          <w:sz w:val="30"/>
          <w:szCs w:val="30"/>
        </w:rPr>
      </w:pPr>
      <w:r>
        <w:rPr>
          <w:rFonts w:eastAsia="黑体"/>
          <w:color w:val="000000" w:themeColor="text1"/>
          <w:sz w:val="30"/>
          <w:szCs w:val="30"/>
          <w:u w:val="single"/>
        </w:rPr>
        <w:t xml:space="preserve"> </w:t>
      </w:r>
      <w:r w:rsidRPr="005D521A">
        <w:rPr>
          <w:rFonts w:eastAsia="黑体"/>
          <w:sz w:val="30"/>
          <w:szCs w:val="30"/>
          <w:u w:val="single"/>
        </w:rPr>
        <w:t>202</w:t>
      </w:r>
      <w:r w:rsidR="00A4262D" w:rsidRPr="005D521A">
        <w:rPr>
          <w:rFonts w:eastAsia="黑体"/>
          <w:sz w:val="30"/>
          <w:szCs w:val="30"/>
          <w:u w:val="single"/>
        </w:rPr>
        <w:t>6</w:t>
      </w:r>
      <w:r>
        <w:rPr>
          <w:rFonts w:eastAsia="黑体" w:hint="eastAsia"/>
          <w:color w:val="000000" w:themeColor="text1"/>
          <w:sz w:val="30"/>
          <w:szCs w:val="30"/>
        </w:rPr>
        <w:t>年</w:t>
      </w:r>
      <w:r>
        <w:rPr>
          <w:rFonts w:eastAsia="黑体" w:hint="eastAsia"/>
          <w:sz w:val="30"/>
          <w:szCs w:val="30"/>
        </w:rPr>
        <w:t>硕士研究生入学考试专业课课程（考试）大纲</w:t>
      </w:r>
    </w:p>
    <w:p w14:paraId="2F5F9B5E" w14:textId="77777777" w:rsidR="000C2D63" w:rsidRDefault="00EB36CF">
      <w:pPr>
        <w:numPr>
          <w:ilvl w:val="0"/>
          <w:numId w:val="1"/>
        </w:numPr>
        <w:tabs>
          <w:tab w:val="clear" w:pos="960"/>
          <w:tab w:val="left" w:pos="540"/>
        </w:tabs>
        <w:ind w:left="52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考试科目名称: 金融学综合</w:t>
      </w:r>
    </w:p>
    <w:p w14:paraId="0A754FFA" w14:textId="77777777" w:rsidR="000C2D63" w:rsidRDefault="00EB36CF">
      <w:pPr>
        <w:numPr>
          <w:ilvl w:val="0"/>
          <w:numId w:val="1"/>
        </w:numPr>
        <w:tabs>
          <w:tab w:val="clear" w:pos="960"/>
          <w:tab w:val="left" w:pos="540"/>
        </w:tabs>
        <w:ind w:left="5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招生学院（盖学院公章）：经济与管理学院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0C2D63" w14:paraId="227F0DE1" w14:textId="77777777">
        <w:trPr>
          <w:trHeight w:val="9059"/>
        </w:trPr>
        <w:tc>
          <w:tcPr>
            <w:tcW w:w="9540" w:type="dxa"/>
          </w:tcPr>
          <w:p w14:paraId="7F0B747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 xml:space="preserve">一、考试性质 </w:t>
            </w:r>
          </w:p>
          <w:p w14:paraId="63B15D6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《金融学综合》是金融硕士（MF）专业学</w:t>
            </w:r>
            <w:bookmarkStart w:id="0" w:name="_GoBack"/>
            <w:bookmarkEnd w:id="0"/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位研究生入学统一考试的科目之一。《金融学综合》考试力求反映金融硕士专业学位的特点，科学、公平、准确、规范地测评考生的基本素质和综合能力，选拔具有发展潜力的优秀人才入学，为国家的经济建设培养具有扎实经济、金融理论基础和良好职业素养，具有较强分析与解决实际问题能力的高层次、应用型、复合型的金融专业人才。 </w:t>
            </w:r>
          </w:p>
          <w:p w14:paraId="71C070C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 xml:space="preserve">二、考试要求 </w:t>
            </w:r>
          </w:p>
          <w:p w14:paraId="44024DE3" w14:textId="77777777" w:rsidR="000C2D63" w:rsidRPr="00020090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测试考生对于与金融学和公司财务相关的基本概念、基础理论的掌握和运用能力。</w:t>
            </w:r>
          </w:p>
          <w:p w14:paraId="381D5E36" w14:textId="60EC2C5F" w:rsidR="000C2D63" w:rsidRPr="00020090" w:rsidRDefault="00A860DA" w:rsidP="00A860DA">
            <w:pPr>
              <w:pStyle w:val="a8"/>
              <w:numPr>
                <w:ilvl w:val="0"/>
                <w:numId w:val="1"/>
              </w:numPr>
              <w:shd w:val="solid" w:color="FFFFFF" w:fill="auto"/>
              <w:autoSpaceDN w:val="0"/>
              <w:snapToGrid w:val="0"/>
              <w:spacing w:line="320" w:lineRule="exact"/>
              <w:ind w:firstLineChars="0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>考试形式和</w:t>
            </w:r>
            <w:r w:rsidR="00EB36CF" w:rsidRPr="00020090"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 xml:space="preserve">试卷结构 </w:t>
            </w:r>
          </w:p>
          <w:p w14:paraId="0EBF136A" w14:textId="013FC0C5" w:rsidR="00A860DA" w:rsidRPr="00020090" w:rsidRDefault="00A860DA" w:rsidP="00A860DA">
            <w:pPr>
              <w:shd w:val="solid" w:color="FFFFFF" w:fill="auto"/>
              <w:autoSpaceDN w:val="0"/>
              <w:snapToGrid w:val="0"/>
              <w:spacing w:line="320" w:lineRule="exact"/>
              <w:ind w:left="480"/>
              <w:rPr>
                <w:rFonts w:ascii="楷体" w:eastAsia="楷体" w:hAnsi="楷体" w:cs="楷体"/>
                <w:bCs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/>
                <w:bCs/>
                <w:sz w:val="24"/>
                <w:shd w:val="clear" w:color="auto" w:fill="FFFFFF"/>
              </w:rPr>
              <w:t>(1)</w:t>
            </w:r>
            <w:r w:rsidRPr="00020090">
              <w:rPr>
                <w:rFonts w:ascii="楷体" w:eastAsia="楷体" w:hAnsi="楷体" w:cs="楷体" w:hint="eastAsia"/>
                <w:bCs/>
                <w:sz w:val="24"/>
                <w:shd w:val="clear" w:color="auto" w:fill="FFFFFF"/>
              </w:rPr>
              <w:t>闭卷，笔试。考试时间为180分钟。</w:t>
            </w:r>
          </w:p>
          <w:p w14:paraId="04932B93" w14:textId="5DBAFC4C" w:rsidR="000C2D63" w:rsidRPr="00020090" w:rsidRDefault="00A860DA" w:rsidP="00A860DA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/>
                <w:sz w:val="24"/>
                <w:shd w:val="clear" w:color="auto" w:fill="FFFFFF"/>
              </w:rPr>
              <w:t>(2)</w:t>
            </w:r>
            <w:r w:rsidR="00EB36CF" w:rsidRPr="00020090"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试卷内容与题型结构:金融学部分，公司财务部分。</w:t>
            </w:r>
          </w:p>
          <w:p w14:paraId="40AF1174" w14:textId="77777777" w:rsidR="000C2D63" w:rsidRPr="00020090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金融学题型：名词解释,判断正误并说明理由,计算题,简答题,论述题;</w:t>
            </w:r>
          </w:p>
          <w:p w14:paraId="28C8968A" w14:textId="77777777" w:rsidR="000C2D63" w:rsidRPr="00020090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公司财务题型：名词解释,简答题,计算题,论述题</w:t>
            </w:r>
          </w:p>
          <w:p w14:paraId="46B5DF88" w14:textId="32C3A990" w:rsidR="000C2D63" w:rsidRPr="00822E9B" w:rsidRDefault="00EB36CF" w:rsidP="00822E9B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2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r w:rsidRPr="00020090"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>四、考试内容</w:t>
            </w:r>
          </w:p>
          <w:p w14:paraId="36A6598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 xml:space="preserve">第一部分 金融学 </w:t>
            </w:r>
          </w:p>
          <w:p w14:paraId="16C525AE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一、货币、货币制度与信用形式</w:t>
            </w:r>
          </w:p>
          <w:p w14:paraId="7BBB462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0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● 货币的职能与货币制度 </w:t>
            </w:r>
          </w:p>
          <w:p w14:paraId="0A1031A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0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国际货币体系</w:t>
            </w:r>
          </w:p>
          <w:p w14:paraId="25770C3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0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信用与信用形式</w:t>
            </w:r>
          </w:p>
          <w:p w14:paraId="0A20368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二、利息和利率</w:t>
            </w:r>
          </w:p>
          <w:p w14:paraId="37C15AC3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00" w:firstLine="2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 ●  利息和利率种类</w:t>
            </w:r>
          </w:p>
          <w:p w14:paraId="122157A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●  利率决定理论</w:t>
            </w:r>
          </w:p>
          <w:p w14:paraId="3F7810B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●  利率的风险结构与期限结构</w:t>
            </w:r>
          </w:p>
          <w:p w14:paraId="1A7DDE5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三、外汇与汇率</w:t>
            </w:r>
          </w:p>
          <w:p w14:paraId="42BC1FB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外汇</w:t>
            </w:r>
          </w:p>
          <w:p w14:paraId="17F7C58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汇率与汇率制度</w:t>
            </w:r>
          </w:p>
          <w:p w14:paraId="68A90E4B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币值、利率与汇率</w:t>
            </w:r>
          </w:p>
          <w:p w14:paraId="2073B2E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汇率决定理论</w:t>
            </w:r>
          </w:p>
          <w:p w14:paraId="702951B3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四、金融市场、金融中介与金融体系结构</w:t>
            </w:r>
          </w:p>
          <w:p w14:paraId="3C372BAB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  ●  金融市场及其要素</w:t>
            </w:r>
          </w:p>
          <w:p w14:paraId="7AB1730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货币市场与资本市场</w:t>
            </w:r>
          </w:p>
          <w:p w14:paraId="71E106AA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投资基金、外汇市场、黄金市场与衍生工具市场</w:t>
            </w:r>
          </w:p>
          <w:p w14:paraId="321E796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150" w:firstLine="36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金融市场国际化</w:t>
            </w:r>
          </w:p>
          <w:p w14:paraId="374ED222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  ●  金融中介体系、金融体系结构</w:t>
            </w:r>
          </w:p>
          <w:p w14:paraId="42308BA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金融发展与经济增长</w:t>
            </w:r>
          </w:p>
          <w:p w14:paraId="78CB741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五、存款货币银行</w:t>
            </w:r>
          </w:p>
          <w:p w14:paraId="7C0CB4B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存款货币银行的类型与组织</w:t>
            </w:r>
          </w:p>
          <w:p w14:paraId="55867D3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商业银行的负债业务和资产业务</w:t>
            </w:r>
          </w:p>
          <w:p w14:paraId="22753CD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   ●  商业银行的中间业务和表外业务</w:t>
            </w:r>
          </w:p>
          <w:p w14:paraId="50426F65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lastRenderedPageBreak/>
              <w:t>●  商业银行的经营原则与管理</w:t>
            </w:r>
          </w:p>
          <w:p w14:paraId="5E6866C2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200" w:firstLine="48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金融创新、存款保险制度</w:t>
            </w:r>
          </w:p>
          <w:p w14:paraId="38DA37B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六、现代货币创造机制</w:t>
            </w:r>
          </w:p>
          <w:p w14:paraId="1F5DDB4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存款货币创造</w:t>
            </w:r>
          </w:p>
          <w:p w14:paraId="4255AA8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中央银行</w:t>
            </w:r>
          </w:p>
          <w:p w14:paraId="5DF7DBD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中央银行体制下的货币创造过程</w:t>
            </w:r>
          </w:p>
          <w:p w14:paraId="6A31CF1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七、货币供求与均衡</w:t>
            </w:r>
          </w:p>
          <w:p w14:paraId="2DAAB8F3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货币需求</w:t>
            </w:r>
          </w:p>
          <w:p w14:paraId="3AC5393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货币供给</w:t>
            </w:r>
          </w:p>
          <w:p w14:paraId="3A97D2C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货币均衡</w:t>
            </w:r>
          </w:p>
          <w:p w14:paraId="2F407BA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通货膨胀与通货紧缩</w:t>
            </w:r>
          </w:p>
          <w:p w14:paraId="3947AB0B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八、货币政策</w:t>
            </w:r>
          </w:p>
          <w:p w14:paraId="11D0072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货币政策及其目标</w:t>
            </w:r>
          </w:p>
          <w:p w14:paraId="104D87A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货币政策工具</w:t>
            </w:r>
          </w:p>
          <w:p w14:paraId="1DB76DF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货币政策的传导机制和中介指标</w:t>
            </w:r>
          </w:p>
          <w:p w14:paraId="05AA01A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货币政策效应</w:t>
            </w:r>
          </w:p>
          <w:p w14:paraId="6EC2297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九、国际收支与国际资本流动</w:t>
            </w:r>
          </w:p>
          <w:p w14:paraId="7D65A17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国际收支</w:t>
            </w:r>
          </w:p>
          <w:p w14:paraId="1A198A9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国际储备</w:t>
            </w:r>
          </w:p>
          <w:p w14:paraId="3E402654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国际资本流动</w:t>
            </w:r>
          </w:p>
          <w:p w14:paraId="6B24DB8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十、金融监管</w:t>
            </w:r>
          </w:p>
          <w:p w14:paraId="02B00C95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金融监管理论</w:t>
            </w:r>
          </w:p>
          <w:p w14:paraId="596C914A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巴塞尔协议与银行监管的国际合作</w:t>
            </w:r>
          </w:p>
          <w:p w14:paraId="30CA694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金融脆弱性与金融危机</w:t>
            </w:r>
          </w:p>
          <w:p w14:paraId="731B403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金融机构监管、金融市场监管</w:t>
            </w:r>
          </w:p>
          <w:p w14:paraId="5C2CC62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金融监管国际协调</w:t>
            </w:r>
          </w:p>
          <w:p w14:paraId="578B89B9" w14:textId="77777777" w:rsidR="000C2D63" w:rsidRDefault="000C2D63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</w:p>
          <w:p w14:paraId="156BECD2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b/>
                <w:bCs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hd w:val="clear" w:color="auto" w:fill="FFFFFF"/>
              </w:rPr>
              <w:t>第二部分　公司财务</w:t>
            </w:r>
          </w:p>
          <w:p w14:paraId="65FA8D2C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一、公司财务概述</w:t>
            </w:r>
          </w:p>
          <w:p w14:paraId="715E970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公司财务</w:t>
            </w:r>
          </w:p>
          <w:p w14:paraId="7C61176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财务管理目标</w:t>
            </w:r>
          </w:p>
          <w:p w14:paraId="6D77D00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二、财务分析</w:t>
            </w:r>
          </w:p>
          <w:p w14:paraId="756BB04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会计报表</w:t>
            </w:r>
          </w:p>
          <w:p w14:paraId="35FA1AD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财务报表比率分析</w:t>
            </w:r>
          </w:p>
          <w:p w14:paraId="62EC3C8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三、财务预测与规划</w:t>
            </w:r>
          </w:p>
          <w:p w14:paraId="029696B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财务预测、财务规划</w:t>
            </w:r>
          </w:p>
          <w:p w14:paraId="2D7EF9C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销售百分比法</w:t>
            </w:r>
          </w:p>
          <w:p w14:paraId="4B246BD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外部融资与增长</w:t>
            </w:r>
          </w:p>
          <w:p w14:paraId="1899A1F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营运资金管理</w:t>
            </w:r>
          </w:p>
          <w:p w14:paraId="77BAD61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四、时间价值、折现与证券估价</w:t>
            </w:r>
          </w:p>
          <w:p w14:paraId="16B13D8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现金流与折现</w:t>
            </w:r>
          </w:p>
          <w:p w14:paraId="4EEFE44C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债券的估值</w:t>
            </w:r>
          </w:p>
          <w:p w14:paraId="3F70E72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股票的估值</w:t>
            </w:r>
          </w:p>
          <w:p w14:paraId="2DE7DFC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期权定价</w:t>
            </w:r>
          </w:p>
          <w:p w14:paraId="6BD541FE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五、资本预算与投资项目评价</w:t>
            </w:r>
          </w:p>
          <w:p w14:paraId="59D2AF0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lastRenderedPageBreak/>
              <w:t>●  投资决策方法</w:t>
            </w:r>
          </w:p>
          <w:p w14:paraId="48C39142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●  增量现金流 </w:t>
            </w:r>
          </w:p>
          <w:p w14:paraId="1E3732F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净现值运用</w:t>
            </w:r>
          </w:p>
          <w:p w14:paraId="643244F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资本预算中的风险分析</w:t>
            </w:r>
          </w:p>
          <w:p w14:paraId="568DD56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六、风险与收益</w:t>
            </w:r>
          </w:p>
          <w:p w14:paraId="6545A5D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风险与收益的度量</w:t>
            </w:r>
          </w:p>
          <w:p w14:paraId="01A0973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均值方差模型</w:t>
            </w:r>
          </w:p>
          <w:p w14:paraId="038A9E53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资本资产定价模型</w:t>
            </w:r>
          </w:p>
          <w:p w14:paraId="6295493B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无套利定价模型</w:t>
            </w:r>
          </w:p>
          <w:p w14:paraId="6DD5B65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七、资本成本与资本结构</w:t>
            </w:r>
          </w:p>
          <w:p w14:paraId="11E4A8FC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资本成本、杠杆原理与应用</w:t>
            </w:r>
          </w:p>
          <w:p w14:paraId="13D3CDF3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资本结构理论</w:t>
            </w:r>
          </w:p>
          <w:p w14:paraId="14F4BFE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资本结构决策</w:t>
            </w:r>
          </w:p>
          <w:p w14:paraId="1F25180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八、有效市场假说</w:t>
            </w:r>
          </w:p>
          <w:p w14:paraId="7A3B876E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有效资本市场的概念、形式</w:t>
            </w:r>
          </w:p>
          <w:p w14:paraId="7B103809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有效市场与公司财务</w:t>
            </w:r>
          </w:p>
          <w:p w14:paraId="3E8009B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债务融资与股权融资</w:t>
            </w:r>
          </w:p>
          <w:p w14:paraId="4A1EDCFF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 xml:space="preserve"> 九、企业价值评估与融资租赁</w:t>
            </w:r>
          </w:p>
          <w:p w14:paraId="7B25ACE1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价值评估的主要方法</w:t>
            </w:r>
          </w:p>
          <w:p w14:paraId="6B878DC0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企业价值评估方法的应用与比较</w:t>
            </w:r>
          </w:p>
          <w:p w14:paraId="2ACC02E8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融资租赁</w:t>
            </w:r>
          </w:p>
          <w:p w14:paraId="6643CADD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Chars="50" w:firstLine="12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十、股利分配与政策</w:t>
            </w:r>
          </w:p>
          <w:p w14:paraId="0A0804E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股利分配</w:t>
            </w:r>
          </w:p>
          <w:p w14:paraId="5CAC6857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ind w:firstLine="540"/>
              <w:rPr>
                <w:rFonts w:ascii="宋体" w:hAnsi="宋体"/>
                <w:szCs w:val="21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●  股利理论与政策</w:t>
            </w:r>
          </w:p>
        </w:tc>
      </w:tr>
      <w:tr w:rsidR="000C2D63" w14:paraId="0187FC5D" w14:textId="77777777">
        <w:trPr>
          <w:trHeight w:val="2944"/>
        </w:trPr>
        <w:tc>
          <w:tcPr>
            <w:tcW w:w="9540" w:type="dxa"/>
          </w:tcPr>
          <w:p w14:paraId="39D1219B" w14:textId="77777777" w:rsidR="000C2D63" w:rsidRDefault="00EB36C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参考书目(须与专业目录一致)(包括作者、书目、出版社、出版时间、版次)：</w:t>
            </w:r>
          </w:p>
          <w:p w14:paraId="764A9B05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楷体" w:eastAsia="楷体" w:hAnsi="楷体" w:cs="楷体"/>
                <w:sz w:val="24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[1]</w:t>
            </w:r>
            <w:r>
              <w:rPr>
                <w:rFonts w:ascii="楷体" w:eastAsia="楷体" w:hAnsi="楷体" w:hint="eastAsia"/>
                <w:sz w:val="24"/>
                <w:shd w:val="clear" w:color="auto" w:fill="FFFFFF"/>
              </w:rPr>
              <w:t>黄达、张杰编著.《金融学》（第六版）.中国人民大学出版社，2024年</w:t>
            </w: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；</w:t>
            </w:r>
          </w:p>
          <w:p w14:paraId="73D96666" w14:textId="77777777" w:rsidR="000C2D63" w:rsidRDefault="00EB36CF">
            <w:pPr>
              <w:shd w:val="solid" w:color="FFFFFF" w:fill="auto"/>
              <w:autoSpaceDN w:val="0"/>
              <w:snapToGrid w:val="0"/>
              <w:spacing w:line="320" w:lineRule="exact"/>
              <w:rPr>
                <w:rFonts w:ascii="仿宋_GB2312" w:eastAsia="仿宋_GB2312" w:hAnsi="仿宋_GB2312"/>
                <w:sz w:val="18"/>
                <w:szCs w:val="18"/>
                <w:shd w:val="clear" w:color="auto" w:fill="FFFFFF"/>
              </w:rPr>
            </w:pPr>
            <w:r>
              <w:rPr>
                <w:rFonts w:ascii="楷体" w:eastAsia="楷体" w:hAnsi="楷体" w:cs="楷体" w:hint="eastAsia"/>
                <w:sz w:val="24"/>
                <w:shd w:val="clear" w:color="auto" w:fill="FFFFFF"/>
              </w:rPr>
              <w:t>[2]马忠编著.《公司财务管理》（第二版）.机械工业出版社，2017年。</w:t>
            </w:r>
          </w:p>
        </w:tc>
      </w:tr>
    </w:tbl>
    <w:p w14:paraId="542E4868" w14:textId="77777777" w:rsidR="000C2D63" w:rsidRDefault="000C2D63">
      <w:pPr>
        <w:pStyle w:val="a4"/>
      </w:pPr>
    </w:p>
    <w:sectPr w:rsidR="000C2D63">
      <w:headerReference w:type="default" r:id="rId8"/>
      <w:footerReference w:type="default" r:id="rId9"/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5E2FD" w14:textId="77777777" w:rsidR="00256EE0" w:rsidRDefault="00256EE0">
      <w:r>
        <w:separator/>
      </w:r>
    </w:p>
  </w:endnote>
  <w:endnote w:type="continuationSeparator" w:id="0">
    <w:p w14:paraId="234AF72F" w14:textId="77777777" w:rsidR="00256EE0" w:rsidRDefault="0025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DB6C4" w14:textId="77777777" w:rsidR="000C2D63" w:rsidRDefault="00256EE0">
    <w:pPr>
      <w:pStyle w:val="a6"/>
    </w:pPr>
    <w:r>
      <w:pict w14:anchorId="16A0B1BF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3DAA98F6" w14:textId="3440BF4B" w:rsidR="000C2D63" w:rsidRDefault="00EB36CF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D521A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B5B17" w14:textId="77777777" w:rsidR="00256EE0" w:rsidRDefault="00256EE0">
      <w:r>
        <w:separator/>
      </w:r>
    </w:p>
  </w:footnote>
  <w:footnote w:type="continuationSeparator" w:id="0">
    <w:p w14:paraId="17BBD503" w14:textId="77777777" w:rsidR="00256EE0" w:rsidRDefault="00256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DA69B" w14:textId="77777777" w:rsidR="000C2D63" w:rsidRDefault="000C2D63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91B4C"/>
    <w:multiLevelType w:val="multilevel"/>
    <w:tmpl w:val="51091B4C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YyYjA2NjZkYzFkNTFmNGNlNGI4ZTRiOGE2ZGVkYmYifQ=="/>
  </w:docVars>
  <w:rsids>
    <w:rsidRoot w:val="00AE2A5A"/>
    <w:rsid w:val="00020090"/>
    <w:rsid w:val="00044DEF"/>
    <w:rsid w:val="0005714A"/>
    <w:rsid w:val="0006726C"/>
    <w:rsid w:val="00093562"/>
    <w:rsid w:val="000B4B0D"/>
    <w:rsid w:val="000C2D63"/>
    <w:rsid w:val="000C459C"/>
    <w:rsid w:val="001667AC"/>
    <w:rsid w:val="00197A1E"/>
    <w:rsid w:val="001C31CD"/>
    <w:rsid w:val="00227C70"/>
    <w:rsid w:val="002538EB"/>
    <w:rsid w:val="00256EE0"/>
    <w:rsid w:val="002740FD"/>
    <w:rsid w:val="00285575"/>
    <w:rsid w:val="003B717F"/>
    <w:rsid w:val="003C05F8"/>
    <w:rsid w:val="003C5139"/>
    <w:rsid w:val="003D09E4"/>
    <w:rsid w:val="004233F1"/>
    <w:rsid w:val="00470889"/>
    <w:rsid w:val="00492432"/>
    <w:rsid w:val="004F1D42"/>
    <w:rsid w:val="005B4437"/>
    <w:rsid w:val="005D1F0A"/>
    <w:rsid w:val="005D521A"/>
    <w:rsid w:val="00613339"/>
    <w:rsid w:val="00633EFD"/>
    <w:rsid w:val="00687B81"/>
    <w:rsid w:val="006C3A00"/>
    <w:rsid w:val="006F5760"/>
    <w:rsid w:val="007525E3"/>
    <w:rsid w:val="00784481"/>
    <w:rsid w:val="007F60B0"/>
    <w:rsid w:val="007F7448"/>
    <w:rsid w:val="00822E9B"/>
    <w:rsid w:val="008E0F28"/>
    <w:rsid w:val="008F2B78"/>
    <w:rsid w:val="00971881"/>
    <w:rsid w:val="009955AD"/>
    <w:rsid w:val="009B0994"/>
    <w:rsid w:val="009E79AC"/>
    <w:rsid w:val="00A27EBE"/>
    <w:rsid w:val="00A4262D"/>
    <w:rsid w:val="00A860DA"/>
    <w:rsid w:val="00AB57E9"/>
    <w:rsid w:val="00AC74A9"/>
    <w:rsid w:val="00AE2A5A"/>
    <w:rsid w:val="00B352A0"/>
    <w:rsid w:val="00B37767"/>
    <w:rsid w:val="00B44FCE"/>
    <w:rsid w:val="00B93580"/>
    <w:rsid w:val="00B9599B"/>
    <w:rsid w:val="00BF7CB8"/>
    <w:rsid w:val="00C132CB"/>
    <w:rsid w:val="00C20E19"/>
    <w:rsid w:val="00C46B34"/>
    <w:rsid w:val="00C632A8"/>
    <w:rsid w:val="00CC518A"/>
    <w:rsid w:val="00CF6AA2"/>
    <w:rsid w:val="00D07C78"/>
    <w:rsid w:val="00D1771A"/>
    <w:rsid w:val="00D20047"/>
    <w:rsid w:val="00D2698B"/>
    <w:rsid w:val="00D46EB2"/>
    <w:rsid w:val="00D979A7"/>
    <w:rsid w:val="00DC6A66"/>
    <w:rsid w:val="00DF0673"/>
    <w:rsid w:val="00E945CB"/>
    <w:rsid w:val="00EB36CF"/>
    <w:rsid w:val="00EC4C88"/>
    <w:rsid w:val="00F73612"/>
    <w:rsid w:val="00F77E5D"/>
    <w:rsid w:val="00F85EC1"/>
    <w:rsid w:val="00FC2D29"/>
    <w:rsid w:val="00FD622A"/>
    <w:rsid w:val="00FF43D5"/>
    <w:rsid w:val="19E82D37"/>
    <w:rsid w:val="254E2DB1"/>
    <w:rsid w:val="272F6371"/>
    <w:rsid w:val="28072B97"/>
    <w:rsid w:val="29C37DC7"/>
    <w:rsid w:val="2A0009E5"/>
    <w:rsid w:val="2A753D82"/>
    <w:rsid w:val="2C991E5B"/>
    <w:rsid w:val="31070B91"/>
    <w:rsid w:val="35BF688B"/>
    <w:rsid w:val="3BF12EDA"/>
    <w:rsid w:val="3C010868"/>
    <w:rsid w:val="42BB7AFD"/>
    <w:rsid w:val="485E1311"/>
    <w:rsid w:val="63350BCC"/>
    <w:rsid w:val="6FFC17B9"/>
    <w:rsid w:val="74E74581"/>
    <w:rsid w:val="7E5D2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21612B6"/>
  <w15:docId w15:val="{9CF5BA6E-D072-4AEF-9C77-D5B24650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Body Text"/>
    <w:basedOn w:val="a"/>
    <w:qFormat/>
    <w:rPr>
      <w:sz w:val="18"/>
      <w:szCs w:val="20"/>
    </w:rPr>
  </w:style>
  <w:style w:type="paragraph" w:styleId="a5">
    <w:name w:val="Body Text First Indent"/>
    <w:basedOn w:val="a4"/>
    <w:qFormat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paragraph" w:styleId="2">
    <w:name w:val="List 2"/>
    <w:basedOn w:val="a"/>
    <w:qFormat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245</Words>
  <Characters>1397</Characters>
  <Application>Microsoft Office Word</Application>
  <DocSecurity>0</DocSecurity>
  <Lines>11</Lines>
  <Paragraphs>3</Paragraphs>
  <ScaleCrop>false</ScaleCrop>
  <Company>fd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广东工业大学</dc:title>
  <dc:creator>woc</dc:creator>
  <cp:lastModifiedBy>ASUS</cp:lastModifiedBy>
  <cp:revision>26</cp:revision>
  <cp:lastPrinted>2019-09-03T03:08:00Z</cp:lastPrinted>
  <dcterms:created xsi:type="dcterms:W3CDTF">2019-09-03T03:03:00Z</dcterms:created>
  <dcterms:modified xsi:type="dcterms:W3CDTF">2025-06-25T03:36:00Z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1033-12.2.0.17119</vt:lpwstr>
  </property>
  <property fmtid="{D5CDD505-2E9C-101B-9397-08002B2CF9AE}" pid="4" name="ICV">
    <vt:lpwstr>9589EF1036DD4B2F969A2DF0497BE56D</vt:lpwstr>
  </property>
</Properties>
</file>