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01878">
      <w:pPr>
        <w:spacing w:line="440" w:lineRule="exact"/>
        <w:jc w:val="lef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附件3：</w:t>
      </w:r>
    </w:p>
    <w:p w14:paraId="73D199C3">
      <w:pPr>
        <w:spacing w:line="44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硕士研究生入学考试自命题科目考试大纲</w:t>
      </w:r>
    </w:p>
    <w:p w14:paraId="4B23243D">
      <w:pPr>
        <w:spacing w:line="44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考试科目名称：内科护理学</w:t>
      </w:r>
    </w:p>
    <w:p w14:paraId="2A1AA018">
      <w:pPr>
        <w:spacing w:line="440" w:lineRule="exact"/>
        <w:jc w:val="center"/>
        <w:rPr>
          <w:rFonts w:ascii="黑体" w:hAnsi="黑体" w:eastAsia="黑体"/>
          <w:bCs/>
          <w:sz w:val="32"/>
          <w:szCs w:val="32"/>
        </w:rPr>
      </w:pPr>
    </w:p>
    <w:p w14:paraId="4DD6C317">
      <w:pPr>
        <w:spacing w:line="440" w:lineRule="exact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bCs/>
          <w:sz w:val="32"/>
          <w:szCs w:val="32"/>
        </w:rPr>
        <w:t>一、考试形式与试卷结构</w:t>
      </w:r>
    </w:p>
    <w:p w14:paraId="66F0DC80">
      <w:pPr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（一）试卷满分及考试时间</w:t>
      </w:r>
    </w:p>
    <w:p w14:paraId="39E38E92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试卷满分为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sz w:val="32"/>
          <w:szCs w:val="32"/>
        </w:rPr>
        <w:t>分，考试时间为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/>
          <w:sz w:val="32"/>
          <w:szCs w:val="32"/>
        </w:rPr>
        <w:t>分钟。</w:t>
      </w:r>
    </w:p>
    <w:p w14:paraId="03C72797">
      <w:pPr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（二）答题方式</w:t>
      </w:r>
    </w:p>
    <w:p w14:paraId="2BD49224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闭卷、笔试。</w:t>
      </w:r>
    </w:p>
    <w:p w14:paraId="70898C5F">
      <w:pPr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（三）题型结构</w:t>
      </w:r>
    </w:p>
    <w:p w14:paraId="506C9122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1.单选题：共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题，每题1分，共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分。</w:t>
      </w:r>
    </w:p>
    <w:p w14:paraId="782D46F7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2.简答题：共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题，每题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分，共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</w:rPr>
        <w:t>分。</w:t>
      </w:r>
    </w:p>
    <w:p w14:paraId="3B9C4198">
      <w:pPr>
        <w:spacing w:line="44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3.论述题：共2题，每题10分，共20分。</w:t>
      </w:r>
    </w:p>
    <w:p w14:paraId="5D281A54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3.病例分析题：共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题，每题15分，共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</w:rPr>
        <w:t>分。</w:t>
      </w:r>
    </w:p>
    <w:p w14:paraId="688D39D9">
      <w:pPr>
        <w:spacing w:line="440" w:lineRule="exact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二、考查内容</w:t>
      </w:r>
    </w:p>
    <w:p w14:paraId="6FED6AA0"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/>
          <w:b/>
          <w:sz w:val="32"/>
          <w:szCs w:val="32"/>
        </w:rPr>
        <w:t>呼吸系统疾病病人护理</w:t>
      </w:r>
    </w:p>
    <w:p w14:paraId="264F95E0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肺部感染性疾病（肺炎）</w:t>
      </w:r>
    </w:p>
    <w:p w14:paraId="218B7C28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病因与分类</w:t>
      </w:r>
    </w:p>
    <w:p w14:paraId="6B2DB188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 w14:paraId="7E8D6468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不同病原体所致肺炎临床表现</w:t>
      </w:r>
    </w:p>
    <w:p w14:paraId="7D818A6B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231E622D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1607FA45"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支气管哮喘</w:t>
      </w:r>
    </w:p>
    <w:p w14:paraId="4E2E83CB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发病机制</w:t>
      </w:r>
    </w:p>
    <w:p w14:paraId="1E4E45AB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7F9F7397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6BE434C4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0562BF93"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肺结核</w:t>
      </w:r>
    </w:p>
    <w:p w14:paraId="4170CBC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辅助检查</w:t>
      </w:r>
    </w:p>
    <w:p w14:paraId="40CB994C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 w14:paraId="265B1F21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325AB8C4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28059DA1"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慢性阻塞性肺疾病</w:t>
      </w:r>
    </w:p>
    <w:p w14:paraId="47295E31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46AA612B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2841684B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 w14:paraId="76C186DC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2C823396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7AE4D65A"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慢性肺心病</w:t>
      </w:r>
    </w:p>
    <w:p w14:paraId="58C770CF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 w14:paraId="76673130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13E6E6C1"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肺癌</w:t>
      </w:r>
    </w:p>
    <w:p w14:paraId="66460900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4E9ED14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病理和分类</w:t>
      </w:r>
    </w:p>
    <w:p w14:paraId="0A21A196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3079D3E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47F3E52D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369D07B5">
      <w:pPr>
        <w:numPr>
          <w:ilvl w:val="0"/>
          <w:numId w:val="1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呼吸衰竭</w:t>
      </w:r>
    </w:p>
    <w:p w14:paraId="4C1B7716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病因及发病机制</w:t>
      </w:r>
    </w:p>
    <w:p w14:paraId="0CA39B56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 w14:paraId="3FEDA4CC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56D502F5"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（二）循环系统疾病病人护理</w:t>
      </w:r>
    </w:p>
    <w:p w14:paraId="3055415A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心力衰竭</w:t>
      </w:r>
    </w:p>
    <w:p w14:paraId="69B2448E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047BDA55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病理生理</w:t>
      </w:r>
    </w:p>
    <w:p w14:paraId="50D2F4B6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1CBFA0A0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5279600A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1B001836"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心律失常</w:t>
      </w:r>
    </w:p>
    <w:p w14:paraId="7FF7BA8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 w14:paraId="2A2436AF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6AB4D2DB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4FAB3EC9"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心脏瓣膜病</w:t>
      </w:r>
    </w:p>
    <w:p w14:paraId="6224A71B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二尖瓣狭窄</w:t>
      </w:r>
    </w:p>
    <w:p w14:paraId="1A45B71C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主动脉瓣关闭不全的临床表现</w:t>
      </w:r>
    </w:p>
    <w:p w14:paraId="2EC5DC82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1B914B58"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冠状动脉粥样硬化性心脏病</w:t>
      </w:r>
    </w:p>
    <w:p w14:paraId="225CFEF2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2105852F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分类</w:t>
      </w:r>
    </w:p>
    <w:p w14:paraId="4CF909B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1325C4D5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 w14:paraId="06C26E31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心电图检查</w:t>
      </w:r>
    </w:p>
    <w:p w14:paraId="3EC6087F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3A6679E7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01BAF086">
      <w:pPr>
        <w:numPr>
          <w:ilvl w:val="0"/>
          <w:numId w:val="2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高血压</w:t>
      </w:r>
    </w:p>
    <w:p w14:paraId="58252421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3575A4DA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 w14:paraId="74347A15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10F0A0A4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1D3FC434"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（三）消化系统疾病病人护理</w:t>
      </w:r>
    </w:p>
    <w:p w14:paraId="48EC45F7">
      <w:pPr>
        <w:spacing w:line="4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胃炎</w:t>
      </w:r>
    </w:p>
    <w:p w14:paraId="3AD00BD1">
      <w:pPr>
        <w:spacing w:line="4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234A34C1">
      <w:pPr>
        <w:spacing w:line="4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7FFDF7B0">
      <w:pPr>
        <w:spacing w:line="4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 w14:paraId="62372DE4">
      <w:pPr>
        <w:spacing w:line="440" w:lineRule="exact"/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10E936CE">
      <w:pPr>
        <w:spacing w:line="44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288B0152"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消化性溃疡</w:t>
      </w:r>
    </w:p>
    <w:p w14:paraId="2CDB346F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 w14:paraId="00F8275A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1DA5DE86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辅助检查</w:t>
      </w:r>
    </w:p>
    <w:p w14:paraId="433AD17C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 w14:paraId="49E2648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0EFDFDDB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0B8C2BBB"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肝硬化</w:t>
      </w:r>
    </w:p>
    <w:p w14:paraId="2B0B10BC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22FFF537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0BC64364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4800C76C"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肝性脑病</w:t>
      </w:r>
    </w:p>
    <w:p w14:paraId="5D618451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病因及发病机制</w:t>
      </w:r>
    </w:p>
    <w:p w14:paraId="04E18703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1FCD223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75279D0C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5B36A8B7"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急性胰腺炎</w:t>
      </w:r>
    </w:p>
    <w:p w14:paraId="66B30681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47C738AA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370A720A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62BADBF9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6E4246F6">
      <w:pPr>
        <w:numPr>
          <w:ilvl w:val="0"/>
          <w:numId w:val="3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上消化道出血</w:t>
      </w:r>
    </w:p>
    <w:p w14:paraId="30AEDFD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3B289852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6004254D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571DE022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05C638AE">
      <w:pPr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（四）泌尿系统疾病病人护理</w:t>
      </w:r>
    </w:p>
    <w:p w14:paraId="4C533DC9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肾小球肾炎</w:t>
      </w:r>
    </w:p>
    <w:p w14:paraId="660D0B8B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急性肾炎及慢性肾炎的病因</w:t>
      </w:r>
    </w:p>
    <w:p w14:paraId="36A26C4B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7F65BC6E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 w14:paraId="30DD4417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6C553F7D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1145C4D9"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肾病综合征</w:t>
      </w:r>
    </w:p>
    <w:p w14:paraId="22F5C622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23C1A5BE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 w14:paraId="3C803913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40065493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0C3F73B4"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尿路感染</w:t>
      </w:r>
    </w:p>
    <w:p w14:paraId="75105838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 w14:paraId="2447E9FE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6D1BFFB3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 w14:paraId="07551EDA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3F3A3A79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66989435">
      <w:pPr>
        <w:numPr>
          <w:ilvl w:val="0"/>
          <w:numId w:val="4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慢性肾衰竭</w:t>
      </w:r>
    </w:p>
    <w:p w14:paraId="260C96A4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分期及治疗计划</w:t>
      </w:r>
    </w:p>
    <w:p w14:paraId="18EEFCCA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5FC1B7A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2E03613F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3FFA3827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24A5C318"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（五）血液系统疾病病人护理</w:t>
      </w:r>
    </w:p>
    <w:p w14:paraId="07018C0C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贫血：缺铁性贫血及再障</w:t>
      </w:r>
    </w:p>
    <w:p w14:paraId="402BA831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127EFF9D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1986FF9D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 w14:paraId="13961932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 w14:paraId="1E15D519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0137ED3F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01B10429">
      <w:pPr>
        <w:numPr>
          <w:ilvl w:val="0"/>
          <w:numId w:val="5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白血病</w:t>
      </w:r>
    </w:p>
    <w:p w14:paraId="1B765ED6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分类</w:t>
      </w:r>
    </w:p>
    <w:p w14:paraId="6373BDE2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162D2BE3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0B6DB168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 w14:paraId="2079E16F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02236E1D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6DE818A8"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（六）内分泌与代谢性疾病病人护理</w:t>
      </w:r>
    </w:p>
    <w:p w14:paraId="0219785F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甲状腺疾病：单纯性甲状腺肿及甲亢</w:t>
      </w:r>
    </w:p>
    <w:p w14:paraId="71D34046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44FFEBB4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66ED411A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实验室检查</w:t>
      </w:r>
    </w:p>
    <w:p w14:paraId="5D995262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02306838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5E0F242F">
      <w:pPr>
        <w:numPr>
          <w:ilvl w:val="0"/>
          <w:numId w:val="6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糖尿病</w:t>
      </w:r>
    </w:p>
    <w:p w14:paraId="6BB4416D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分型</w:t>
      </w:r>
    </w:p>
    <w:p w14:paraId="0C7A9D0A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11CEE0DA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 w14:paraId="76976558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 w14:paraId="5AA9F2D5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03A1CA36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68280CDA">
      <w:pPr>
        <w:numPr>
          <w:ilvl w:val="0"/>
          <w:numId w:val="6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高尿酸血症及痛风</w:t>
      </w:r>
    </w:p>
    <w:p w14:paraId="3F2E639E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病因及发病机制</w:t>
      </w:r>
    </w:p>
    <w:p w14:paraId="193FDA5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4D36740D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 w14:paraId="2DC4878A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诊断要点</w:t>
      </w:r>
    </w:p>
    <w:p w14:paraId="710CA72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41D8EE77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0866BEDC"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（七）风湿性疾病病人护理</w:t>
      </w:r>
    </w:p>
    <w:p w14:paraId="2EFA4F1B">
      <w:pPr>
        <w:spacing w:line="440" w:lineRule="exact"/>
        <w:ind w:firstLine="640" w:firstLineChars="200"/>
        <w:rPr>
          <w:rFonts w:hint="default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color w:val="auto"/>
          <w:sz w:val="32"/>
          <w:szCs w:val="32"/>
        </w:rPr>
        <w:t>.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类风湿关节炎</w:t>
      </w:r>
    </w:p>
    <w:p w14:paraId="1FE68F9F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756774B8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07DA8564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  <w:bookmarkStart w:id="0" w:name="_GoBack"/>
      <w:bookmarkEnd w:id="0"/>
    </w:p>
    <w:p w14:paraId="19623F9B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42483887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系统性红斑狼疮</w:t>
      </w:r>
    </w:p>
    <w:p w14:paraId="585D538F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229B5117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27F451F5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7D3A5A80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2E5E6BDE"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（八）传染病病病人护理</w:t>
      </w:r>
    </w:p>
    <w:p w14:paraId="5E66272A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病毒性肝炎</w:t>
      </w:r>
    </w:p>
    <w:p w14:paraId="345D8F77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病原学</w:t>
      </w:r>
    </w:p>
    <w:p w14:paraId="19F3068D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流行病学</w:t>
      </w:r>
    </w:p>
    <w:p w14:paraId="2115638C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56F63B49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 w14:paraId="6C75D321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60BD24C5">
      <w:pPr>
        <w:numPr>
          <w:ilvl w:val="0"/>
          <w:numId w:val="7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艾滋病</w:t>
      </w:r>
    </w:p>
    <w:p w14:paraId="5EBEFE5E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病原学</w:t>
      </w:r>
    </w:p>
    <w:p w14:paraId="190A46C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流行病学</w:t>
      </w:r>
    </w:p>
    <w:p w14:paraId="6A442D3D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130C091D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 w14:paraId="3F8975A2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2D759B53"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（九）神经系统疾病病人护理</w:t>
      </w:r>
    </w:p>
    <w:p w14:paraId="376CCEFD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脑血管疾病</w:t>
      </w:r>
    </w:p>
    <w:p w14:paraId="649E34C1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（1）概述</w:t>
      </w:r>
    </w:p>
    <w:p w14:paraId="47DFE849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概念</w:t>
      </w:r>
    </w:p>
    <w:p w14:paraId="18778A7A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分类</w:t>
      </w:r>
    </w:p>
    <w:p w14:paraId="4417C427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脑血液循环</w:t>
      </w:r>
    </w:p>
    <w:p w14:paraId="52BF9073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</w:t>
      </w:r>
    </w:p>
    <w:p w14:paraId="2734F224">
      <w:p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危险因素</w:t>
      </w:r>
    </w:p>
    <w:p w14:paraId="6ADCD3E5"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预防</w:t>
      </w:r>
    </w:p>
    <w:p w14:paraId="1C950C35">
      <w:pPr>
        <w:numPr>
          <w:ilvl w:val="0"/>
          <w:numId w:val="8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脑血栓形成</w:t>
      </w:r>
    </w:p>
    <w:p w14:paraId="1B9388CA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 w14:paraId="49FDCEE9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3A2F003D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 w14:paraId="4C5D04E7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27824BA1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62B28AF1">
      <w:pPr>
        <w:numPr>
          <w:ilvl w:val="0"/>
          <w:numId w:val="8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脑出血</w:t>
      </w:r>
    </w:p>
    <w:p w14:paraId="25D2197F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概念</w:t>
      </w:r>
    </w:p>
    <w:p w14:paraId="05C916CC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 w14:paraId="6E79B6F7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0CE61AB7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 w14:paraId="1E741D86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545BED8A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0A9E23AE">
      <w:pPr>
        <w:numPr>
          <w:ilvl w:val="0"/>
          <w:numId w:val="8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蛛网膜下腔出血</w:t>
      </w:r>
    </w:p>
    <w:p w14:paraId="49755F1D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病因与发病机制</w:t>
      </w:r>
    </w:p>
    <w:p w14:paraId="4B09FAFD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临床表现</w:t>
      </w:r>
    </w:p>
    <w:p w14:paraId="71A4D3BD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实验室及其他检查</w:t>
      </w:r>
    </w:p>
    <w:p w14:paraId="08002BE0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治疗要点</w:t>
      </w:r>
    </w:p>
    <w:p w14:paraId="59C8D7E7">
      <w:pPr>
        <w:numPr>
          <w:ilvl w:val="0"/>
          <w:numId w:val="0"/>
        </w:num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护理</w:t>
      </w:r>
    </w:p>
    <w:p w14:paraId="293157B8">
      <w:pPr>
        <w:spacing w:line="440" w:lineRule="exact"/>
        <w:jc w:val="left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三、参考书目</w:t>
      </w:r>
      <w:r>
        <w:rPr>
          <w:rFonts w:ascii="仿宋" w:hAnsi="仿宋" w:eastAsia="仿宋"/>
          <w:color w:val="FF0000"/>
          <w:sz w:val="32"/>
          <w:szCs w:val="32"/>
        </w:rPr>
        <w:fldChar w:fldCharType="begin"/>
      </w:r>
      <w:r>
        <w:rPr>
          <w:rFonts w:ascii="仿宋" w:hAnsi="仿宋" w:eastAsia="仿宋"/>
          <w:color w:val="FF0000"/>
          <w:sz w:val="32"/>
          <w:szCs w:val="32"/>
        </w:rPr>
        <w:instrText xml:space="preserve">ADDIN CNKISM.UserStyle</w:instrText>
      </w:r>
      <w:r>
        <w:rPr>
          <w:rFonts w:ascii="仿宋" w:hAnsi="仿宋" w:eastAsia="仿宋"/>
          <w:color w:val="FF0000"/>
          <w:sz w:val="32"/>
          <w:szCs w:val="32"/>
        </w:rPr>
        <w:fldChar w:fldCharType="end"/>
      </w:r>
    </w:p>
    <w:p w14:paraId="1BD44F9C">
      <w:pPr>
        <w:numPr>
          <w:ilvl w:val="0"/>
          <w:numId w:val="0"/>
        </w:numPr>
        <w:spacing w:line="44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内科护理学 第3版（“十四五”规划教材），沈翠珍 、高静主编；人民卫生出版社，2021年8月出版。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85676"/>
    </w:sdtPr>
    <w:sdtContent>
      <w:p w14:paraId="5796E703">
        <w:pPr>
          <w:pStyle w:val="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527B2977">
    <w:pPr>
      <w:pStyle w:val="3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9B6896"/>
    <w:multiLevelType w:val="singleLevel"/>
    <w:tmpl w:val="5F9B6896"/>
    <w:lvl w:ilvl="0" w:tentative="0">
      <w:start w:val="2"/>
      <w:numFmt w:val="decimal"/>
      <w:suff w:val="nothing"/>
      <w:lvlText w:val="%1."/>
      <w:lvlJc w:val="left"/>
    </w:lvl>
  </w:abstractNum>
  <w:abstractNum w:abstractNumId="1">
    <w:nsid w:val="5F9B6938"/>
    <w:multiLevelType w:val="singleLevel"/>
    <w:tmpl w:val="5F9B6938"/>
    <w:lvl w:ilvl="0" w:tentative="0">
      <w:start w:val="2"/>
      <w:numFmt w:val="decimal"/>
      <w:suff w:val="nothing"/>
      <w:lvlText w:val="%1."/>
      <w:lvlJc w:val="left"/>
    </w:lvl>
  </w:abstractNum>
  <w:abstractNum w:abstractNumId="2">
    <w:nsid w:val="5F9B6988"/>
    <w:multiLevelType w:val="singleLevel"/>
    <w:tmpl w:val="5F9B6988"/>
    <w:lvl w:ilvl="0" w:tentative="0">
      <w:start w:val="2"/>
      <w:numFmt w:val="decimal"/>
      <w:suff w:val="nothing"/>
      <w:lvlText w:val="%1."/>
      <w:lvlJc w:val="left"/>
    </w:lvl>
  </w:abstractNum>
  <w:abstractNum w:abstractNumId="3">
    <w:nsid w:val="5F9B69D5"/>
    <w:multiLevelType w:val="singleLevel"/>
    <w:tmpl w:val="5F9B69D5"/>
    <w:lvl w:ilvl="0" w:tentative="0">
      <w:start w:val="2"/>
      <w:numFmt w:val="decimal"/>
      <w:suff w:val="nothing"/>
      <w:lvlText w:val="%1."/>
      <w:lvlJc w:val="left"/>
    </w:lvl>
  </w:abstractNum>
  <w:abstractNum w:abstractNumId="4">
    <w:nsid w:val="5F9B6A5B"/>
    <w:multiLevelType w:val="singleLevel"/>
    <w:tmpl w:val="5F9B6A5B"/>
    <w:lvl w:ilvl="0" w:tentative="0">
      <w:start w:val="2"/>
      <w:numFmt w:val="decimal"/>
      <w:suff w:val="nothing"/>
      <w:lvlText w:val="%1."/>
      <w:lvlJc w:val="left"/>
    </w:lvl>
  </w:abstractNum>
  <w:abstractNum w:abstractNumId="5">
    <w:nsid w:val="5F9B6A7F"/>
    <w:multiLevelType w:val="singleLevel"/>
    <w:tmpl w:val="5F9B6A7F"/>
    <w:lvl w:ilvl="0" w:tentative="0">
      <w:start w:val="2"/>
      <w:numFmt w:val="decimal"/>
      <w:suff w:val="nothing"/>
      <w:lvlText w:val="%1."/>
      <w:lvlJc w:val="left"/>
    </w:lvl>
  </w:abstractNum>
  <w:abstractNum w:abstractNumId="6">
    <w:nsid w:val="5F9B6AD7"/>
    <w:multiLevelType w:val="singleLevel"/>
    <w:tmpl w:val="5F9B6AD7"/>
    <w:lvl w:ilvl="0" w:tentative="0">
      <w:start w:val="2"/>
      <w:numFmt w:val="decimal"/>
      <w:suff w:val="nothing"/>
      <w:lvlText w:val="%1."/>
      <w:lvlJc w:val="left"/>
    </w:lvl>
  </w:abstractNum>
  <w:abstractNum w:abstractNumId="7">
    <w:nsid w:val="5F9B6AFE"/>
    <w:multiLevelType w:val="singleLevel"/>
    <w:tmpl w:val="5F9B6AF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czZDk2ODIxY2ZlZTBlZTJmYmNiODQ1YmYzYjgxMzgifQ=="/>
  </w:docVars>
  <w:rsids>
    <w:rsidRoot w:val="00CE58D1"/>
    <w:rsid w:val="00194CFE"/>
    <w:rsid w:val="00196646"/>
    <w:rsid w:val="001B5B21"/>
    <w:rsid w:val="001B7192"/>
    <w:rsid w:val="002F782A"/>
    <w:rsid w:val="003254E5"/>
    <w:rsid w:val="003D5744"/>
    <w:rsid w:val="004016CD"/>
    <w:rsid w:val="00446CFF"/>
    <w:rsid w:val="00501F59"/>
    <w:rsid w:val="005C32B4"/>
    <w:rsid w:val="00797C94"/>
    <w:rsid w:val="008A00E3"/>
    <w:rsid w:val="009E06CC"/>
    <w:rsid w:val="00A80F4B"/>
    <w:rsid w:val="00AF2981"/>
    <w:rsid w:val="00B12A77"/>
    <w:rsid w:val="00C14186"/>
    <w:rsid w:val="00CE58D1"/>
    <w:rsid w:val="00D10793"/>
    <w:rsid w:val="00DD7847"/>
    <w:rsid w:val="00E376A2"/>
    <w:rsid w:val="00FD316A"/>
    <w:rsid w:val="092B07C9"/>
    <w:rsid w:val="0DD20062"/>
    <w:rsid w:val="0EC76384"/>
    <w:rsid w:val="143A5D34"/>
    <w:rsid w:val="28EE32EC"/>
    <w:rsid w:val="2B221350"/>
    <w:rsid w:val="416E3F6C"/>
    <w:rsid w:val="51E33E59"/>
    <w:rsid w:val="52496537"/>
    <w:rsid w:val="548E1DD3"/>
    <w:rsid w:val="5CBE1C28"/>
    <w:rsid w:val="5ED60E93"/>
    <w:rsid w:val="688A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宋体" w:hAns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1148</Words>
  <Characters>1171</Characters>
  <Lines>10</Lines>
  <Paragraphs>3</Paragraphs>
  <TotalTime>3</TotalTime>
  <ScaleCrop>false</ScaleCrop>
  <LinksUpToDate>false</LinksUpToDate>
  <CharactersWithSpaces>1174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2019-10-16T01:57:00Z</dcterms:created>
  <dc:creator>likn</dc:creator>
  <cp:lastModifiedBy>张红石</cp:lastModifiedBy>
  <dcterms:modified xsi:type="dcterms:W3CDTF">2024-07-17T15:17:12Z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54D60B416F004070BA3EFE2EDB0D385C</vt:lpwstr>
  </property>
</Properties>
</file>