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F60BF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22"/>
        <w:gridCol w:w="1975"/>
        <w:gridCol w:w="1723"/>
        <w:gridCol w:w="2152"/>
      </w:tblGrid>
      <w:tr w14:paraId="74A3D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312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6AED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1668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144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0396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E831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D853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F82D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F3DD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管理科学与工程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0385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938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5E54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bidi="ar"/>
              </w:rPr>
              <w:t>战略管理</w:t>
            </w:r>
          </w:p>
        </w:tc>
      </w:tr>
      <w:tr w14:paraId="0E957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F2FD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5D636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4998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战略管理的构成要素与战略层次；战略环境分析；战略态势选择；竞争战略理论；战略实施中的组织战略性调整；战略实施的资源配置；企业战略控制的动态过程；战略控制方法；战略控制的信息反馈；企业战略变革。</w:t>
            </w:r>
          </w:p>
        </w:tc>
      </w:tr>
      <w:tr w14:paraId="6FBF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BB00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1320B0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53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C54C83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本试卷满分为100分，考试时间为100分钟。</w:t>
            </w:r>
          </w:p>
          <w:p w14:paraId="7A2ACB1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584515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F9412C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三）试卷内容结构</w:t>
            </w:r>
          </w:p>
          <w:p w14:paraId="3C76873A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约60分</w:t>
            </w:r>
          </w:p>
          <w:p w14:paraId="30DA975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约40分</w:t>
            </w:r>
          </w:p>
          <w:p w14:paraId="1DC76CE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试卷题型结构</w:t>
            </w:r>
          </w:p>
          <w:p w14:paraId="741D82AD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</w:rPr>
              <w:t>简答题；案例分析题；综合论述题。</w:t>
            </w:r>
          </w:p>
        </w:tc>
      </w:tr>
    </w:tbl>
    <w:p w14:paraId="18734772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8043C67"/>
    <w:rsid w:val="2D5B3D47"/>
    <w:rsid w:val="2EDC5E20"/>
    <w:rsid w:val="3083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302</Characters>
  <Lines>0</Lines>
  <Paragraphs>0</Paragraphs>
  <TotalTime>3</TotalTime>
  <ScaleCrop>false</ScaleCrop>
  <LinksUpToDate>false</LinksUpToDate>
  <CharactersWithSpaces>304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2024-09-02T07:25:00Z</dcterms:created>
  <dc:creator>17629</dc:creator>
  <cp:lastModifiedBy>小米汤</cp:lastModifiedBy>
  <dcterms:modified xsi:type="dcterms:W3CDTF">2024-09-04T03:24:19Z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4C7363B673E2468D9B51AE4D0386E1AC_12</vt:lpwstr>
  </property>
</Properties>
</file>