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F7" w:rsidRDefault="0005223A" w:rsidP="0005223A">
      <w:pPr>
        <w:rPr>
          <w:rFonts w:ascii="Times New Roman" w:eastAsia="宋体" w:hAnsi="Times New Roman" w:cs="Times New Roman" w:hint="eastAsia"/>
          <w:color w:val="000000"/>
        </w:rPr>
      </w:pPr>
      <w:r w:rsidRPr="0005223A">
        <w:rPr>
          <w:rFonts w:ascii="Times New Roman" w:eastAsia="宋体" w:hAnsi="Times New Roman" w:cs="Times New Roman" w:hint="eastAsia"/>
          <w:color w:val="000000"/>
        </w:rPr>
        <w:t xml:space="preserve">　　中国科学院云南天文台</w:t>
      </w:r>
      <w:r w:rsidRPr="0005223A">
        <w:rPr>
          <w:rFonts w:ascii="Times New Roman" w:eastAsia="宋体" w:hAnsi="Times New Roman" w:cs="Times New Roman" w:hint="eastAsia"/>
          <w:color w:val="000000"/>
        </w:rPr>
        <w:t>2021</w:t>
      </w:r>
      <w:r w:rsidRPr="0005223A">
        <w:rPr>
          <w:rFonts w:ascii="Times New Roman" w:eastAsia="宋体" w:hAnsi="Times New Roman" w:cs="Times New Roman" w:hint="eastAsia"/>
          <w:color w:val="000000"/>
        </w:rPr>
        <w:t>年硕士招生专业目录</w:t>
      </w:r>
    </w:p>
    <w:p w:rsidR="00F55AF7" w:rsidRDefault="00F55AF7" w:rsidP="0005223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65E40" w:rsidRPr="00C65E40" w:rsidRDefault="00C65E40" w:rsidP="00C65E40">
      <w:pPr>
        <w:widowControl/>
        <w:shd w:val="clear" w:color="auto" w:fill="FFFFFF"/>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xml:space="preserve">　中国科学院云南天文台是专业基础研究与应用研究结合的综合性天文研究机构（其前身是1938年中央研究院天文研究所在昆明东郊凤凰山创建的凤凰山天文台），总部在云南省昆明市，设有两个观测站（丽江高美古天文观测站和澄江抚仙湖太阳观测站），拥有2.4米通用型光学望远镜、1 米红外太阳塔、1.2米激光测距望远镜、40米射电望远镜等大型天文观测设备。</w:t>
      </w:r>
    </w:p>
    <w:p w:rsidR="00C65E40" w:rsidRPr="00C65E40" w:rsidRDefault="00C65E40" w:rsidP="00C65E40">
      <w:pPr>
        <w:widowControl/>
        <w:shd w:val="clear" w:color="auto" w:fill="FFFFFF"/>
        <w:jc w:val="left"/>
        <w:rPr>
          <w:rFonts w:ascii="微软雅黑" w:eastAsia="微软雅黑" w:hAnsi="微软雅黑" w:cs="宋体" w:hint="eastAsia"/>
          <w:color w:val="454444"/>
          <w:kern w:val="0"/>
          <w:szCs w:val="21"/>
        </w:rPr>
      </w:pPr>
      <w:r w:rsidRPr="00C65E40">
        <w:rPr>
          <w:rFonts w:ascii="微软雅黑" w:eastAsia="微软雅黑" w:hAnsi="微软雅黑" w:cs="宋体" w:hint="eastAsia"/>
          <w:color w:val="454444"/>
          <w:kern w:val="0"/>
          <w:szCs w:val="21"/>
        </w:rPr>
        <w:t xml:space="preserve">　　云南天文台自1982年开始招收研究生，现有天体物理、天体测量与天体力学、天文技术与方法3个学术型学位的博士点与硕士点，电子信息1个专业学位硕士点，1个天文学博士后流动站。目前在读研究生145人，研究生导师72人，其中中国科学院院士1人、国家杰出青年科学基金获得者3人、国家基金委优秀青年科学基金获得者5人、国家“万人计划”科技创新领军人才2人、中国科学院人才计划8人。天体物理专业适宜天文、物理学类专业的学生报考；天体测量与天体力学专业适宜天文、数学、力学、测量、物理、地球物理等专业的学生报考；天文技术与方法专业适宜天文、光学、机械、电子、计算机、自动控制等专业学生报考；电子信息专业适宜光学、机械、电子、计算机、自动控制等专业学生报考。</w:t>
      </w:r>
    </w:p>
    <w:p w:rsidR="00C65E40" w:rsidRPr="00C65E40" w:rsidRDefault="00C65E40" w:rsidP="00C65E40">
      <w:pPr>
        <w:widowControl/>
        <w:shd w:val="clear" w:color="auto" w:fill="FFFFFF"/>
        <w:jc w:val="left"/>
        <w:rPr>
          <w:rFonts w:ascii="微软雅黑" w:eastAsia="微软雅黑" w:hAnsi="微软雅黑" w:cs="宋体" w:hint="eastAsia"/>
          <w:color w:val="454444"/>
          <w:kern w:val="0"/>
          <w:szCs w:val="21"/>
        </w:rPr>
      </w:pPr>
      <w:r w:rsidRPr="00C65E40">
        <w:rPr>
          <w:rFonts w:ascii="微软雅黑" w:eastAsia="微软雅黑" w:hAnsi="微软雅黑" w:cs="宋体" w:hint="eastAsia"/>
          <w:color w:val="454444"/>
          <w:kern w:val="0"/>
          <w:szCs w:val="21"/>
        </w:rPr>
        <w:t xml:space="preserve">　　云南天文台有一批活跃在国际前沿学科的高水平科研人员，与国内外高校和科研机构建立了密切的合作关系。</w:t>
      </w:r>
    </w:p>
    <w:p w:rsidR="00C65E40" w:rsidRPr="00C65E40" w:rsidRDefault="00C65E40" w:rsidP="00C65E40">
      <w:pPr>
        <w:widowControl/>
        <w:shd w:val="clear" w:color="auto" w:fill="FFFFFF"/>
        <w:jc w:val="left"/>
        <w:rPr>
          <w:rFonts w:ascii="微软雅黑" w:eastAsia="微软雅黑" w:hAnsi="微软雅黑" w:cs="宋体" w:hint="eastAsia"/>
          <w:color w:val="454444"/>
          <w:kern w:val="0"/>
          <w:szCs w:val="21"/>
        </w:rPr>
      </w:pPr>
      <w:r w:rsidRPr="00C65E40">
        <w:rPr>
          <w:rFonts w:ascii="微软雅黑" w:eastAsia="微软雅黑" w:hAnsi="微软雅黑" w:cs="宋体" w:hint="eastAsia"/>
          <w:color w:val="454444"/>
          <w:kern w:val="0"/>
          <w:szCs w:val="21"/>
        </w:rPr>
        <w:t xml:space="preserve">　　2021年有关招生的详细情况可登录</w:t>
      </w:r>
      <w:hyperlink r:id="rId7" w:history="1">
        <w:r w:rsidRPr="00C65E40">
          <w:rPr>
            <w:rFonts w:ascii="微软雅黑" w:eastAsia="微软雅黑" w:hAnsi="微软雅黑" w:cs="宋体" w:hint="eastAsia"/>
            <w:color w:val="333333"/>
            <w:kern w:val="0"/>
            <w:szCs w:val="21"/>
          </w:rPr>
          <w:t>http://www.ynao.ac.cn</w:t>
        </w:r>
      </w:hyperlink>
      <w:r w:rsidRPr="00C65E40">
        <w:rPr>
          <w:rFonts w:ascii="微软雅黑" w:eastAsia="微软雅黑" w:hAnsi="微软雅黑" w:cs="宋体" w:hint="eastAsia"/>
          <w:color w:val="454444"/>
          <w:kern w:val="0"/>
          <w:szCs w:val="21"/>
        </w:rPr>
        <w:t>查看。</w:t>
      </w:r>
    </w:p>
    <w:p w:rsidR="00C65E40" w:rsidRPr="00C65E40" w:rsidRDefault="00C65E40" w:rsidP="00C65E40">
      <w:pPr>
        <w:widowControl/>
        <w:shd w:val="clear" w:color="auto" w:fill="FFFFFF"/>
        <w:jc w:val="left"/>
        <w:rPr>
          <w:rFonts w:ascii="微软雅黑" w:eastAsia="微软雅黑" w:hAnsi="微软雅黑" w:cs="宋体" w:hint="eastAsia"/>
          <w:color w:val="454444"/>
          <w:kern w:val="0"/>
          <w:szCs w:val="21"/>
        </w:rPr>
      </w:pPr>
      <w:r w:rsidRPr="00C65E40">
        <w:rPr>
          <w:rFonts w:ascii="微软雅黑" w:eastAsia="微软雅黑" w:hAnsi="微软雅黑" w:cs="宋体" w:hint="eastAsia"/>
          <w:color w:val="454444"/>
          <w:kern w:val="0"/>
          <w:szCs w:val="21"/>
        </w:rPr>
        <w:t xml:space="preserve">　　单位地址：云南省昆明市官渡区羊方旺396号　　邮政编码: 650216</w:t>
      </w:r>
    </w:p>
    <w:p w:rsidR="00C65E40" w:rsidRPr="00C65E40" w:rsidRDefault="00C65E40" w:rsidP="00C65E40">
      <w:pPr>
        <w:widowControl/>
        <w:shd w:val="clear" w:color="auto" w:fill="FFFFFF"/>
        <w:jc w:val="left"/>
        <w:rPr>
          <w:rFonts w:ascii="微软雅黑" w:eastAsia="微软雅黑" w:hAnsi="微软雅黑" w:cs="宋体" w:hint="eastAsia"/>
          <w:color w:val="454444"/>
          <w:kern w:val="0"/>
          <w:szCs w:val="21"/>
        </w:rPr>
      </w:pPr>
      <w:r w:rsidRPr="00C65E40">
        <w:rPr>
          <w:rFonts w:ascii="微软雅黑" w:eastAsia="微软雅黑" w:hAnsi="微软雅黑" w:cs="宋体" w:hint="eastAsia"/>
          <w:color w:val="454444"/>
          <w:kern w:val="0"/>
          <w:szCs w:val="21"/>
        </w:rPr>
        <w:t xml:space="preserve">　　联系部门：人事教育处     电话：0871-63920669     邮件：yjsb@ynao.ac.cn       联系人：王德良</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11"/>
        <w:gridCol w:w="534"/>
        <w:gridCol w:w="4944"/>
        <w:gridCol w:w="733"/>
      </w:tblGrid>
      <w:tr w:rsidR="00C65E40" w:rsidRPr="00C65E40" w:rsidTr="00C65E40">
        <w:tc>
          <w:tcPr>
            <w:tcW w:w="3150" w:type="dxa"/>
            <w:tcBorders>
              <w:bottom w:val="single" w:sz="6" w:space="0" w:color="000000"/>
              <w:right w:val="single" w:sz="6" w:space="0" w:color="000000"/>
            </w:tcBorders>
            <w:shd w:val="clear" w:color="auto" w:fill="FFFFFF"/>
            <w:vAlign w:val="center"/>
            <w:hideMark/>
          </w:tcPr>
          <w:p w:rsidR="00C65E40" w:rsidRPr="00C65E40" w:rsidRDefault="00C65E40" w:rsidP="00C65E40">
            <w:pPr>
              <w:widowControl/>
              <w:jc w:val="left"/>
              <w:rPr>
                <w:rFonts w:ascii="微软雅黑" w:eastAsia="微软雅黑" w:hAnsi="微软雅黑" w:cs="宋体" w:hint="eastAsia"/>
                <w:color w:val="454444"/>
                <w:kern w:val="0"/>
                <w:szCs w:val="21"/>
              </w:rPr>
            </w:pPr>
            <w:r w:rsidRPr="00C65E40">
              <w:rPr>
                <w:rFonts w:ascii="微软雅黑" w:eastAsia="微软雅黑" w:hAnsi="微软雅黑" w:cs="宋体" w:hint="eastAsia"/>
                <w:color w:val="454444"/>
                <w:kern w:val="0"/>
                <w:szCs w:val="21"/>
              </w:rPr>
              <w:t>学科、专业名称（代码）</w:t>
            </w:r>
          </w:p>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lastRenderedPageBreak/>
              <w:t>研究方向</w:t>
            </w:r>
          </w:p>
        </w:tc>
        <w:tc>
          <w:tcPr>
            <w:tcW w:w="945" w:type="dxa"/>
            <w:tcBorders>
              <w:bottom w:val="single" w:sz="6" w:space="0" w:color="000000"/>
              <w:right w:val="single" w:sz="6" w:space="0" w:color="000000"/>
            </w:tcBorders>
            <w:shd w:val="clear" w:color="auto" w:fill="FFFFFF"/>
            <w:vAlign w:val="center"/>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lastRenderedPageBreak/>
              <w:t>预计</w:t>
            </w:r>
            <w:r w:rsidRPr="00C65E40">
              <w:rPr>
                <w:rFonts w:ascii="微软雅黑" w:eastAsia="微软雅黑" w:hAnsi="微软雅黑" w:cs="宋体" w:hint="eastAsia"/>
                <w:color w:val="454444"/>
                <w:kern w:val="0"/>
                <w:szCs w:val="21"/>
              </w:rPr>
              <w:lastRenderedPageBreak/>
              <w:t>招生人数</w:t>
            </w:r>
          </w:p>
        </w:tc>
        <w:tc>
          <w:tcPr>
            <w:tcW w:w="2790" w:type="dxa"/>
            <w:tcBorders>
              <w:bottom w:val="single" w:sz="6" w:space="0" w:color="000000"/>
              <w:right w:val="single" w:sz="6" w:space="0" w:color="000000"/>
            </w:tcBorders>
            <w:shd w:val="clear" w:color="auto" w:fill="FFFFFF"/>
            <w:vAlign w:val="center"/>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lastRenderedPageBreak/>
              <w:t>考试科目</w:t>
            </w:r>
          </w:p>
        </w:tc>
        <w:tc>
          <w:tcPr>
            <w:tcW w:w="1500" w:type="dxa"/>
            <w:tcBorders>
              <w:bottom w:val="single" w:sz="6" w:space="0" w:color="000000"/>
            </w:tcBorders>
            <w:shd w:val="clear" w:color="auto" w:fill="FFFFFF"/>
            <w:vAlign w:val="center"/>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备　注</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lastRenderedPageBreak/>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b/>
                <w:bCs/>
                <w:color w:val="454444"/>
                <w:kern w:val="0"/>
                <w:szCs w:val="21"/>
              </w:rPr>
              <w:t>070401 天体物理</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15</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01.（全日制）恒星物理</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①101思想政治理论②201英语一③601高等数学(甲)或617普通物理(甲)④808电动力学或811量子力学</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02.（全日制）太阳物理</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同上</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03.（全日制）高能天体物理</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同上</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04.（全日制）实测天体物理</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同上</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05.（全日制）星系与宇宙学</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同上</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06.（全日制）日地关系与空间天气</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同上</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07.（全日制）活动星系核</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同上</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08.（全日制）系外行星</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同上</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b/>
                <w:bCs/>
                <w:color w:val="454444"/>
                <w:kern w:val="0"/>
                <w:szCs w:val="21"/>
              </w:rPr>
              <w:t>070402 天体测量与天体力学</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1</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01.（全日制）空间目标</w:t>
            </w:r>
            <w:r w:rsidRPr="00C65E40">
              <w:rPr>
                <w:rFonts w:ascii="微软雅黑" w:eastAsia="微软雅黑" w:hAnsi="微软雅黑" w:cs="宋体" w:hint="eastAsia"/>
                <w:color w:val="454444"/>
                <w:kern w:val="0"/>
                <w:szCs w:val="21"/>
              </w:rPr>
              <w:lastRenderedPageBreak/>
              <w:t>精密定轨与应用</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lastRenderedPageBreak/>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①101思想政治理论②201英语一③601高等数学(甲)</w:t>
            </w:r>
            <w:r w:rsidRPr="00C65E40">
              <w:rPr>
                <w:rFonts w:ascii="微软雅黑" w:eastAsia="微软雅黑" w:hAnsi="微软雅黑" w:cs="宋体" w:hint="eastAsia"/>
                <w:color w:val="454444"/>
                <w:kern w:val="0"/>
                <w:szCs w:val="21"/>
              </w:rPr>
              <w:lastRenderedPageBreak/>
              <w:t>或617普通物理(甲)④810理论力学或856电子线路</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lastRenderedPageBreak/>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lastRenderedPageBreak/>
              <w:t>02.（全日制）空间目标光电探测技术与方法</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同上</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hint="eastAsia"/>
                <w:color w:val="454444"/>
                <w:kern w:val="0"/>
                <w:szCs w:val="21"/>
              </w:rPr>
            </w:pPr>
            <w:r w:rsidRPr="00C65E40">
              <w:rPr>
                <w:rFonts w:ascii="微软雅黑" w:eastAsia="微软雅黑" w:hAnsi="微软雅黑" w:cs="宋体" w:hint="eastAsia"/>
                <w:color w:val="454444"/>
                <w:kern w:val="0"/>
                <w:szCs w:val="21"/>
              </w:rPr>
              <w:t>03.（全日制）激光测月技术与应用</w:t>
            </w:r>
          </w:p>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04.（全日制）天体测量技术与方法</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同上</w:t>
            </w:r>
          </w:p>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①101思想政治理论②201英语一③601高等数学(甲)或617普通物理(甲)④810理论力学或859信号与系统</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b/>
                <w:bCs/>
                <w:color w:val="454444"/>
                <w:kern w:val="0"/>
                <w:szCs w:val="21"/>
              </w:rPr>
              <w:t>0704Z1 天文技术与方法</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4</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01.（全日制）天文仪器与方法</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①101思想政治理论②201英语一③602高等数学(乙)或617普通物理(甲)④817光学或856电子线路</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02.（全日制）高分辨率成像技术</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①101思想政治理论②201英语一③602高等数学(乙)或617普通物理(甲)④817光学或862计算机学科综合（非专业）</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03.（全日制）射电天文</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①101思想政治理论②201英语一③602高等数学(乙)或617普通物理(甲)④856电子线路或862计算机学科综合（非专业）</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04.（全日制）红外天文技术</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①101思想政治理论②201英语一③602高等数学(乙)或617普通物理(甲)④817光学或856电子线路</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05.（全日制）天文数据处理</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①101思想政治理论②201英语一③602高等数学(乙)或617普通物理(甲)④859信号与系统或862计算机</w:t>
            </w:r>
            <w:r w:rsidRPr="00C65E40">
              <w:rPr>
                <w:rFonts w:ascii="微软雅黑" w:eastAsia="微软雅黑" w:hAnsi="微软雅黑" w:cs="宋体" w:hint="eastAsia"/>
                <w:color w:val="454444"/>
                <w:kern w:val="0"/>
                <w:szCs w:val="21"/>
              </w:rPr>
              <w:lastRenderedPageBreak/>
              <w:t>学科综合（非专业）</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lastRenderedPageBreak/>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lastRenderedPageBreak/>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b/>
                <w:bCs/>
                <w:color w:val="454444"/>
                <w:kern w:val="0"/>
                <w:szCs w:val="21"/>
              </w:rPr>
              <w:t>085400 电子信息</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3 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01.（全日制）天文技术与应用</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①101思想政治理论②201英语一③302数学二④817光学或856电子线路</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r w:rsidR="00C65E40" w:rsidRPr="00C65E40" w:rsidTr="00C65E40">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02.（全日制）天文望远镜</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c>
          <w:tcPr>
            <w:tcW w:w="0" w:type="auto"/>
            <w:tcBorders>
              <w:right w:val="single" w:sz="6" w:space="0" w:color="000000"/>
            </w:tcBorders>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①101思想政治理论②201英语一③302数学二④806普通物理(乙)或815机械设计</w:t>
            </w:r>
          </w:p>
        </w:tc>
        <w:tc>
          <w:tcPr>
            <w:tcW w:w="0" w:type="auto"/>
            <w:shd w:val="clear" w:color="auto" w:fill="FFFFFF"/>
            <w:hideMark/>
          </w:tcPr>
          <w:p w:rsidR="00C65E40" w:rsidRPr="00C65E40" w:rsidRDefault="00C65E40" w:rsidP="00C65E40">
            <w:pPr>
              <w:widowControl/>
              <w:jc w:val="left"/>
              <w:rPr>
                <w:rFonts w:ascii="微软雅黑" w:eastAsia="微软雅黑" w:hAnsi="微软雅黑" w:cs="宋体"/>
                <w:color w:val="454444"/>
                <w:kern w:val="0"/>
                <w:szCs w:val="21"/>
              </w:rPr>
            </w:pPr>
            <w:r w:rsidRPr="00C65E40">
              <w:rPr>
                <w:rFonts w:ascii="微软雅黑" w:eastAsia="微软雅黑" w:hAnsi="微软雅黑" w:cs="宋体" w:hint="eastAsia"/>
                <w:color w:val="454444"/>
                <w:kern w:val="0"/>
                <w:szCs w:val="21"/>
              </w:rPr>
              <w:t> </w:t>
            </w:r>
          </w:p>
        </w:tc>
      </w:tr>
    </w:tbl>
    <w:p w:rsidR="00C65E40" w:rsidRPr="00C65E40" w:rsidRDefault="00C65E40" w:rsidP="00C65E40">
      <w:pPr>
        <w:widowControl/>
        <w:shd w:val="clear" w:color="auto" w:fill="FFFFFF"/>
        <w:jc w:val="left"/>
        <w:rPr>
          <w:rFonts w:ascii="微软雅黑" w:eastAsia="微软雅黑" w:hAnsi="微软雅黑" w:cs="宋体" w:hint="eastAsia"/>
          <w:color w:val="454444"/>
          <w:kern w:val="0"/>
          <w:szCs w:val="21"/>
        </w:rPr>
      </w:pPr>
      <w:r w:rsidRPr="00C65E40">
        <w:rPr>
          <w:rFonts w:ascii="微软雅黑" w:eastAsia="微软雅黑" w:hAnsi="微软雅黑" w:cs="宋体" w:hint="eastAsia"/>
          <w:color w:val="454444"/>
          <w:kern w:val="0"/>
          <w:szCs w:val="21"/>
        </w:rPr>
        <w:t> </w:t>
      </w:r>
    </w:p>
    <w:p w:rsidR="00C65E40" w:rsidRPr="00C65E40" w:rsidRDefault="00C65E40" w:rsidP="00C65E40">
      <w:pPr>
        <w:widowControl/>
        <w:shd w:val="clear" w:color="auto" w:fill="FFFFFF"/>
        <w:jc w:val="left"/>
        <w:rPr>
          <w:rFonts w:ascii="微软雅黑" w:eastAsia="微软雅黑" w:hAnsi="微软雅黑" w:cs="宋体" w:hint="eastAsia"/>
          <w:color w:val="454444"/>
          <w:kern w:val="0"/>
          <w:szCs w:val="21"/>
        </w:rPr>
      </w:pPr>
      <w:r w:rsidRPr="00C65E40">
        <w:rPr>
          <w:rFonts w:ascii="微软雅黑" w:eastAsia="微软雅黑" w:hAnsi="微软雅黑" w:cs="宋体" w:hint="eastAsia"/>
          <w:color w:val="454444"/>
          <w:kern w:val="0"/>
          <w:sz w:val="24"/>
          <w:szCs w:val="24"/>
        </w:rPr>
        <w:t>网报方式：根据中国科学院大学的招生简章要求，通过中国研究生招生信息网</w:t>
      </w:r>
      <w:hyperlink r:id="rId8" w:history="1">
        <w:r w:rsidRPr="00C65E40">
          <w:rPr>
            <w:rFonts w:ascii="微软雅黑" w:eastAsia="微软雅黑" w:hAnsi="微软雅黑" w:cs="宋体" w:hint="eastAsia"/>
            <w:color w:val="333333"/>
            <w:kern w:val="0"/>
            <w:szCs w:val="21"/>
          </w:rPr>
          <w:t>http://yz.chsi.com.cn/</w:t>
        </w:r>
      </w:hyperlink>
      <w:r w:rsidRPr="00C65E40">
        <w:rPr>
          <w:rFonts w:ascii="微软雅黑" w:eastAsia="微软雅黑" w:hAnsi="微软雅黑" w:cs="宋体" w:hint="eastAsia"/>
          <w:color w:val="454444"/>
          <w:kern w:val="0"/>
          <w:szCs w:val="21"/>
        </w:rPr>
        <w:t>进行报名，“招生单位所在地区”应全部选择“北京”，“招生单位”选择“14430 中国科学院大学”，在“院系所名称”栏中选择要报考的研究所，如：023 云南天文台，然后选择报考专业等报考信息。 </w:t>
      </w:r>
    </w:p>
    <w:p w:rsidR="00F55AF7" w:rsidRPr="00C65E40" w:rsidRDefault="00F55AF7" w:rsidP="0005223A">
      <w:pPr>
        <w:rPr>
          <w:rFonts w:ascii="Times New Roman" w:eastAsia="宋体" w:hAnsi="Times New Roman" w:cs="Times New Roman"/>
          <w:color w:val="000000"/>
        </w:rPr>
      </w:pPr>
      <w:bookmarkStart w:id="0" w:name="_GoBack"/>
      <w:bookmarkEnd w:id="0"/>
    </w:p>
    <w:p w:rsidR="00F55AF7" w:rsidRDefault="00F55AF7" w:rsidP="0005223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F55AF7" w:rsidRDefault="00F55AF7" w:rsidP="0005223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F55AF7" w:rsidRDefault="00F55AF7" w:rsidP="0005223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5223A" w:rsidRPr="0005223A" w:rsidRDefault="0005223A" w:rsidP="0005223A">
      <w:pPr>
        <w:rPr>
          <w:rFonts w:ascii="Times New Roman" w:eastAsia="宋体" w:hAnsi="Times New Roman" w:cs="Times New Roman"/>
          <w:color w:val="000000"/>
        </w:rPr>
      </w:pPr>
    </w:p>
    <w:sectPr w:rsidR="0005223A" w:rsidRPr="000522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7E" w:rsidRDefault="0051137E" w:rsidP="0005223A">
      <w:r>
        <w:separator/>
      </w:r>
    </w:p>
  </w:endnote>
  <w:endnote w:type="continuationSeparator" w:id="0">
    <w:p w:rsidR="0051137E" w:rsidRDefault="0051137E" w:rsidP="0005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7E" w:rsidRDefault="0051137E" w:rsidP="0005223A">
      <w:r>
        <w:separator/>
      </w:r>
    </w:p>
  </w:footnote>
  <w:footnote w:type="continuationSeparator" w:id="0">
    <w:p w:rsidR="0051137E" w:rsidRDefault="0051137E" w:rsidP="00052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7F"/>
    <w:rsid w:val="0005223A"/>
    <w:rsid w:val="0051137E"/>
    <w:rsid w:val="005D057F"/>
    <w:rsid w:val="00987998"/>
    <w:rsid w:val="00C65E40"/>
    <w:rsid w:val="00F55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23A"/>
    <w:rPr>
      <w:sz w:val="18"/>
      <w:szCs w:val="18"/>
    </w:rPr>
  </w:style>
  <w:style w:type="paragraph" w:styleId="a4">
    <w:name w:val="footer"/>
    <w:basedOn w:val="a"/>
    <w:link w:val="Char0"/>
    <w:uiPriority w:val="99"/>
    <w:unhideWhenUsed/>
    <w:rsid w:val="0005223A"/>
    <w:pPr>
      <w:tabs>
        <w:tab w:val="center" w:pos="4153"/>
        <w:tab w:val="right" w:pos="8306"/>
      </w:tabs>
      <w:snapToGrid w:val="0"/>
      <w:jc w:val="left"/>
    </w:pPr>
    <w:rPr>
      <w:sz w:val="18"/>
      <w:szCs w:val="18"/>
    </w:rPr>
  </w:style>
  <w:style w:type="character" w:customStyle="1" w:styleId="Char0">
    <w:name w:val="页脚 Char"/>
    <w:basedOn w:val="a0"/>
    <w:link w:val="a4"/>
    <w:uiPriority w:val="99"/>
    <w:rsid w:val="0005223A"/>
    <w:rPr>
      <w:sz w:val="18"/>
      <w:szCs w:val="18"/>
    </w:rPr>
  </w:style>
  <w:style w:type="paragraph" w:styleId="a5">
    <w:name w:val="Normal (Web)"/>
    <w:basedOn w:val="a"/>
    <w:uiPriority w:val="99"/>
    <w:unhideWhenUsed/>
    <w:rsid w:val="00C65E4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65E40"/>
    <w:rPr>
      <w:color w:val="0000FF"/>
      <w:u w:val="single"/>
    </w:rPr>
  </w:style>
  <w:style w:type="character" w:styleId="a7">
    <w:name w:val="Strong"/>
    <w:basedOn w:val="a0"/>
    <w:uiPriority w:val="22"/>
    <w:qFormat/>
    <w:rsid w:val="00C65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23A"/>
    <w:rPr>
      <w:sz w:val="18"/>
      <w:szCs w:val="18"/>
    </w:rPr>
  </w:style>
  <w:style w:type="paragraph" w:styleId="a4">
    <w:name w:val="footer"/>
    <w:basedOn w:val="a"/>
    <w:link w:val="Char0"/>
    <w:uiPriority w:val="99"/>
    <w:unhideWhenUsed/>
    <w:rsid w:val="0005223A"/>
    <w:pPr>
      <w:tabs>
        <w:tab w:val="center" w:pos="4153"/>
        <w:tab w:val="right" w:pos="8306"/>
      </w:tabs>
      <w:snapToGrid w:val="0"/>
      <w:jc w:val="left"/>
    </w:pPr>
    <w:rPr>
      <w:sz w:val="18"/>
      <w:szCs w:val="18"/>
    </w:rPr>
  </w:style>
  <w:style w:type="character" w:customStyle="1" w:styleId="Char0">
    <w:name w:val="页脚 Char"/>
    <w:basedOn w:val="a0"/>
    <w:link w:val="a4"/>
    <w:uiPriority w:val="99"/>
    <w:rsid w:val="0005223A"/>
    <w:rPr>
      <w:sz w:val="18"/>
      <w:szCs w:val="18"/>
    </w:rPr>
  </w:style>
  <w:style w:type="paragraph" w:styleId="a5">
    <w:name w:val="Normal (Web)"/>
    <w:basedOn w:val="a"/>
    <w:uiPriority w:val="99"/>
    <w:unhideWhenUsed/>
    <w:rsid w:val="00C65E4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65E40"/>
    <w:rPr>
      <w:color w:val="0000FF"/>
      <w:u w:val="single"/>
    </w:rPr>
  </w:style>
  <w:style w:type="character" w:styleId="a7">
    <w:name w:val="Strong"/>
    <w:basedOn w:val="a0"/>
    <w:uiPriority w:val="22"/>
    <w:qFormat/>
    <w:rsid w:val="00C65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ettings" Target="settings.xml"/><Relationship Id="rId7" Type="http://schemas.openxmlformats.org/officeDocument/2006/relationships/hyperlink" Target="http://www.ynao.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1782</Characters>
  <Application>Microsoft Office Word</Application>
  <DocSecurity>0</DocSecurity>
  <Lines>14</Lines>
  <Paragraphs>4</Paragraphs>
  <ScaleCrop>false</ScaleCrop>
  <Company>微软中国</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2020-11-02T08:41:00Z</dcterms:created>
  <dcterms:modified xsi:type="dcterms:W3CDTF">2020-11-02T08:41:00Z</dcterms:modified>
</cp:coreProperties>
</file>