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4D" w:rsidRDefault="0095774D" w:rsidP="0095774D">
      <w:pPr>
        <w:jc w:val="center"/>
        <w:rPr>
          <w:rFonts w:hint="eastAsia"/>
        </w:rPr>
      </w:pPr>
      <w:r w:rsidRPr="0095774D">
        <w:rPr>
          <w:rFonts w:hint="eastAsia"/>
        </w:rPr>
        <w:t>河南师范大学</w:t>
      </w:r>
      <w:r w:rsidRPr="0095774D">
        <w:rPr>
          <w:rFonts w:hint="eastAsia"/>
        </w:rPr>
        <w:t>2021</w:t>
      </w:r>
      <w:r w:rsidRPr="0095774D">
        <w:rPr>
          <w:rFonts w:hint="eastAsia"/>
        </w:rPr>
        <w:t>年硕士研究生招生简章</w:t>
      </w:r>
    </w:p>
    <w:p w:rsidR="0095774D" w:rsidRPr="0095774D" w:rsidRDefault="0095774D" w:rsidP="0095774D">
      <w:pPr>
        <w:jc w:val="center"/>
      </w:pPr>
      <w:bookmarkStart w:id="0" w:name="_GoBack"/>
      <w:bookmarkEnd w:id="0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5774D" w:rsidRPr="0095774D" w:rsidTr="0095774D">
        <w:trPr>
          <w:trHeight w:val="5400"/>
          <w:jc w:val="center"/>
        </w:trPr>
        <w:tc>
          <w:tcPr>
            <w:tcW w:w="0" w:type="auto"/>
            <w:shd w:val="clear" w:color="auto" w:fill="FFFFFF"/>
            <w:hideMark/>
          </w:tcPr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为了做好2021年攻读硕士学位研究生招生工作，现将有关情况说明如下：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1" w:name="_Toc19515622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一、招生计划</w:t>
            </w:r>
            <w:bookmarkEnd w:id="1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2021年我校按照2020年实际录取人数，安排招收硕士研究生暂定2266名，其中全日制学术学位721名，全日制专业学位1185名（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含硕师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计划150名），非全日制专业学位360名。最终招生人数以教育部正式下达的招生计划为准。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专业学位中的125100工商管理、125200公共管理、125400旅游管理、045101教育管理，不接收应届推荐免试硕士研究生，其它各专业（领域）均接收。推荐免试硕士研究生招生简章另行发布。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为了分类管理招生计划，我校将研究生招生分为四类，即全日制学术学位（A类）、全日制专业学位（B类）【不包含农村师资教育硕士计划（以下简称硕师计划）】、硕师计划（C类）、非全日制专业学位（D类）。招生计划按学院（部）分类别进行分配，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细分到各专业（领域），复试录取时根据国家下达计划、合格生源、师资等情况由各学院（部）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公布分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专业（领域）招生计划。各学院（部）拟招生计划见表1，总规模中包括推荐免试招生计划，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推免录取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结束后（预计在2020年10月底前）在研究生院网站公布实际录取名额。推荐免试中A类、B类为预计招生数，C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类按所列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计划招生。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表1：硕士研究生分学院（部）分类别拟招生计划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889"/>
              <w:gridCol w:w="607"/>
              <w:gridCol w:w="664"/>
              <w:gridCol w:w="607"/>
              <w:gridCol w:w="607"/>
              <w:gridCol w:w="624"/>
              <w:gridCol w:w="624"/>
              <w:gridCol w:w="798"/>
            </w:tblGrid>
            <w:tr w:rsidR="0095774D" w:rsidRPr="0095774D" w:rsidTr="0095774D">
              <w:tc>
                <w:tcPr>
                  <w:tcW w:w="17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学院代码及名称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学院</w:t>
                  </w:r>
                </w:p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总规模</w:t>
                  </w:r>
                </w:p>
              </w:tc>
              <w:tc>
                <w:tcPr>
                  <w:tcW w:w="1550" w:type="pct"/>
                  <w:gridSpan w:val="4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招生总规模</w:t>
                  </w:r>
                </w:p>
              </w:tc>
              <w:tc>
                <w:tcPr>
                  <w:tcW w:w="1150" w:type="pct"/>
                  <w:gridSpan w:val="3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推荐免试招生计划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A类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B类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C类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D类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A类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B类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C类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2" w:name="_Toc19515623"/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001</w:t>
                  </w:r>
                  <w:bookmarkEnd w:id="2"/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数学与信息科学学院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002物理学院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003化学化工学院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004生命科学学院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005外国语学院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006体育学院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007政治与公共管理学院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008计算机与信息工程学院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009文学院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010教育学部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011历史文化学院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012美术学院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013法学院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014音乐舞蹈学院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015商学院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018社会事业学院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019环境学院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020水产学院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021旅游学院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022电子与电气工程学院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023马克思主义学院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024 MPA教育中心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025材料科学与工程学院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95774D" w:rsidRPr="0095774D" w:rsidTr="0095774D">
              <w:tc>
                <w:tcPr>
                  <w:tcW w:w="1700" w:type="pct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2266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1035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95774D" w:rsidRPr="0095774D" w:rsidRDefault="0095774D" w:rsidP="0095774D">
            <w:pPr>
              <w:widowControl/>
              <w:spacing w:before="100" w:beforeAutospacing="1" w:after="100" w:afterAutospacing="1" w:line="273" w:lineRule="atLeast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273" w:lineRule="atLeast"/>
              <w:ind w:firstLine="4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二、学习方式、学制和学费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学术学位学习方式均为全日制，学制3年，每学年学费8000元。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硕师计划按教育部规定：前3年利用暑假完成课程学习，第4年脱产完成学位论文写作和答辩，学费按2学年收取，每学年8000元。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专业学位学习方式、学制和学费见表2，各领域的学习方式详见专业目录。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表2：专业学位学习方式、学制和学费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266"/>
              <w:gridCol w:w="1519"/>
              <w:gridCol w:w="2281"/>
            </w:tblGrid>
            <w:tr w:rsidR="0095774D" w:rsidRPr="0095774D" w:rsidTr="0095774D">
              <w:tc>
                <w:tcPr>
                  <w:tcW w:w="1900" w:type="pct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专业学位类别代码及名称</w:t>
                  </w:r>
                </w:p>
              </w:tc>
              <w:tc>
                <w:tcPr>
                  <w:tcW w:w="750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学习方式</w:t>
                  </w:r>
                </w:p>
              </w:tc>
              <w:tc>
                <w:tcPr>
                  <w:tcW w:w="900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学制（年）</w:t>
                  </w:r>
                </w:p>
              </w:tc>
              <w:tc>
                <w:tcPr>
                  <w:tcW w:w="1350" w:type="pct"/>
                  <w:tcBorders>
                    <w:top w:val="single" w:sz="12" w:space="0" w:color="000000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学费（元/学年）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0251金融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vMerge w:val="restar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0351法律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0352社会工作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vMerge w:val="restar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0451教育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vMerge w:val="restar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0452体育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0453汉语国际教育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0551翻译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0651文物与博物馆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0854电子信息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0856材料与化工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0857资源与环境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0860生物与医药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vMerge w:val="restar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0951农业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1251工商管理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1252公共管理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1253会计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tcBorders>
                    <w:top w:val="nil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1254旅游管理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12000</w:t>
                  </w:r>
                </w:p>
              </w:tc>
            </w:tr>
            <w:tr w:rsidR="0095774D" w:rsidRPr="0095774D" w:rsidTr="0095774D">
              <w:tc>
                <w:tcPr>
                  <w:tcW w:w="1900" w:type="pct"/>
                  <w:vMerge w:val="restart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ind w:firstLine="18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1351艺术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6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8000</w:t>
                  </w:r>
                </w:p>
              </w:tc>
            </w:tr>
            <w:tr w:rsidR="0095774D" w:rsidRPr="0095774D" w:rsidTr="0095774D"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非全日制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12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0" w:type="pct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95774D" w:rsidRPr="0095774D" w:rsidRDefault="0095774D" w:rsidP="0095774D">
                  <w:pPr>
                    <w:widowControl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5774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15000</w:t>
                  </w:r>
                </w:p>
              </w:tc>
            </w:tr>
          </w:tbl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3" w:name="_Toc19515624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三、报考条件</w:t>
            </w:r>
            <w:bookmarkEnd w:id="3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所有考生必须符合国家教育部发布的《2021年全国硕士研究生招生工作管理规定》中有关报考条件的规定。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河南师范大学欢迎国家承认学历的普通全日制应届本科生（研究生</w:t>
            </w: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入学前取得本科学历和学士学位）、往届本科毕业生（已经取得本科学历和学士学位）及同等学力人员（包括成人应届本科，自学考试和网络教育届时可毕业本科生，毕业2年以上高职高专，没有学士学位的成人往届本科、自考本科、普通全日制本科，普通全日制本科结业）报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专业目录中部分专业（领域）标注了“同等学力考生有学术要求”，要求同等学力考生近5年在中文核心及以上期刊以第一作者发表过学术论文。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报考125100工商管理、125200公共管理、125400旅游管理、045101教育管理的考生，要求大学本科毕业后有3年或3年以上工作经验的人员；或获得国家承认的高职高专学历后，有5年或5年以上工作经验，达到与大学本科毕业生同等学力的人员；或已获硕士学位或博士学位并有2年或2年以上工作经验的人员。考生参加复试需由工作单位出具在实际工作中工作内容及业绩证明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报考035101法律（非法学），要求之前在高校学习的专业为非法学专业，即：普通高等学校本科专业是法学类专业[代码为0301]的毕业生不得报考。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报考035102法律（法学），要求之前在高校学习的专业为法学专业，即：普通高等学校本科专业是法学类专业[代码为0301]的毕业生方可报考。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原则上非全日制硕士研究生招收在职定向就业人员。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4" w:name="_Toc19515625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四、报名程序及要求</w:t>
            </w:r>
            <w:bookmarkEnd w:id="4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考生报名按国家统一规定进行，请考生关注中国研究生招生信息网（网址：</w:t>
            </w:r>
            <w:hyperlink r:id="rId7" w:history="1">
              <w:r w:rsidRPr="0095774D">
                <w:rPr>
                  <w:rFonts w:ascii="宋体" w:eastAsia="宋体" w:hAnsi="宋体" w:cs="宋体" w:hint="eastAsia"/>
                  <w:color w:val="333333"/>
                  <w:kern w:val="0"/>
                  <w:sz w:val="27"/>
                  <w:szCs w:val="27"/>
                </w:rPr>
                <w:t>http://yz.chsi.com.cn</w:t>
              </w:r>
            </w:hyperlink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）。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特别提醒考生在网上报名和网上确认（现场确认）时，必须如实、准确填写有关信息，信息填写错误由本人负责。档案所在单位与地址，务必落实后再填写，不得随意填写，如档案在高校，档案所在单位应填写高校名称及档案管理部门名称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5" w:name="_Toc19515626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五、奖助体系</w:t>
            </w:r>
            <w:bookmarkEnd w:id="5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根据国家规定，我校录取的全日制研究生可以享受国家奖学金、国家助学金、学业奖学金、“三助”岗位津贴和其他奖助项目，详见《河南师范大学研究生奖助体系实施方案（试行）》等。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6" w:name="_Toc19515627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六、招生专业</w:t>
            </w:r>
            <w:bookmarkEnd w:id="6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 xml:space="preserve">　　2021年我校硕士研究生考试招生专业（领域）详见专业目录。</w:t>
            </w: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7" w:name="_Toc19515628"/>
            <w:r w:rsidRPr="0095774D">
              <w:rPr>
                <w:rFonts w:ascii="黑体" w:eastAsia="黑体" w:hAnsi="黑体" w:cs="宋体" w:hint="eastAsia"/>
                <w:color w:val="4F81BD"/>
                <w:kern w:val="0"/>
                <w:sz w:val="27"/>
                <w:szCs w:val="27"/>
              </w:rPr>
              <w:t xml:space="preserve">　　七、其他说明</w:t>
            </w:r>
            <w:bookmarkEnd w:id="7"/>
          </w:p>
          <w:p w:rsidR="0095774D" w:rsidRPr="0095774D" w:rsidRDefault="0095774D" w:rsidP="0095774D">
            <w:pPr>
              <w:widowControl/>
              <w:spacing w:before="100" w:beforeAutospacing="1" w:after="100" w:afterAutospacing="1" w:line="48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 xml:space="preserve">　　有关专业及参考书目方面问题，请直接与各学院（部）联系，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研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招办不提供参考书，考生自行购买。特别提醒考生关注我校研究生院网站和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微信公众号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，许多重要信息通过网站和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微信公众号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发布，网址：</w:t>
            </w:r>
            <w:hyperlink r:id="rId8" w:history="1">
              <w:r w:rsidRPr="0095774D">
                <w:rPr>
                  <w:rFonts w:ascii="宋体" w:eastAsia="宋体" w:hAnsi="宋体" w:cs="宋体" w:hint="eastAsia"/>
                  <w:color w:val="333333"/>
                  <w:kern w:val="0"/>
                  <w:sz w:val="27"/>
                  <w:szCs w:val="27"/>
                </w:rPr>
                <w:t>http://www.htu.edu.cn/yjsxy</w:t>
              </w:r>
            </w:hyperlink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，</w:t>
            </w:r>
            <w:proofErr w:type="gramStart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微信公众号</w:t>
            </w:r>
            <w:proofErr w:type="gramEnd"/>
            <w:r w:rsidRPr="0095774D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：河南师范大学研究生院，电话：0373-3329034。</w:t>
            </w:r>
          </w:p>
        </w:tc>
      </w:tr>
    </w:tbl>
    <w:p w:rsidR="00710997" w:rsidRPr="0095774D" w:rsidRDefault="00710997" w:rsidP="0095774D"/>
    <w:sectPr w:rsidR="00710997" w:rsidRPr="00957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CC" w:rsidRDefault="00D407CC" w:rsidP="00710997">
      <w:r>
        <w:separator/>
      </w:r>
    </w:p>
  </w:endnote>
  <w:endnote w:type="continuationSeparator" w:id="0">
    <w:p w:rsidR="00D407CC" w:rsidRDefault="00D407CC" w:rsidP="007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CC" w:rsidRDefault="00D407CC" w:rsidP="00710997">
      <w:r>
        <w:separator/>
      </w:r>
    </w:p>
  </w:footnote>
  <w:footnote w:type="continuationSeparator" w:id="0">
    <w:p w:rsidR="00D407CC" w:rsidRDefault="00D407CC" w:rsidP="0071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C"/>
    <w:rsid w:val="002A6010"/>
    <w:rsid w:val="005F5B8C"/>
    <w:rsid w:val="00710997"/>
    <w:rsid w:val="0095774D"/>
    <w:rsid w:val="00B968B3"/>
    <w:rsid w:val="00D4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97"/>
    <w:rPr>
      <w:sz w:val="18"/>
      <w:szCs w:val="18"/>
    </w:rPr>
  </w:style>
  <w:style w:type="character" w:styleId="a5">
    <w:name w:val="Strong"/>
    <w:basedOn w:val="a0"/>
    <w:uiPriority w:val="22"/>
    <w:qFormat/>
    <w:rsid w:val="0095774D"/>
    <w:rPr>
      <w:b/>
      <w:bCs/>
    </w:rPr>
  </w:style>
  <w:style w:type="character" w:styleId="a6">
    <w:name w:val="Hyperlink"/>
    <w:basedOn w:val="a0"/>
    <w:uiPriority w:val="99"/>
    <w:semiHidden/>
    <w:unhideWhenUsed/>
    <w:rsid w:val="00957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97"/>
    <w:rPr>
      <w:sz w:val="18"/>
      <w:szCs w:val="18"/>
    </w:rPr>
  </w:style>
  <w:style w:type="character" w:styleId="a5">
    <w:name w:val="Strong"/>
    <w:basedOn w:val="a0"/>
    <w:uiPriority w:val="22"/>
    <w:qFormat/>
    <w:rsid w:val="0095774D"/>
    <w:rPr>
      <w:b/>
      <w:bCs/>
    </w:rPr>
  </w:style>
  <w:style w:type="character" w:styleId="a6">
    <w:name w:val="Hyperlink"/>
    <w:basedOn w:val="a0"/>
    <w:uiPriority w:val="99"/>
    <w:semiHidden/>
    <w:unhideWhenUsed/>
    <w:rsid w:val="00957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u.edu.cn/yjsx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chsi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483</Words>
  <Characters>2758</Characters>
  <Application>Microsoft Office Word</Application>
  <DocSecurity>0</DocSecurity>
  <Lines>22</Lines>
  <Paragraphs>6</Paragraphs>
  <ScaleCrop>false</ScaleCrop>
  <Company>微软中国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2020-10-11T12:02:00Z</dcterms:created>
  <dcterms:modified xsi:type="dcterms:W3CDTF">2020-10-11T12:03:00Z</dcterms:modified>
</cp:coreProperties>
</file>