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8E9" w:rsidRDefault="0070231B" w:rsidP="0070231B">
      <w:pPr>
        <w:rPr>
          <w:rFonts w:ascii="Times New Roman" w:eastAsia="宋体" w:hAnsi="Times New Roman" w:cs="Times New Roman" w:hint="eastAsia"/>
          <w:color w:val="000000"/>
        </w:rPr>
      </w:pPr>
      <w:r w:rsidRPr="0070231B">
        <w:rPr>
          <w:rFonts w:ascii="Times New Roman" w:eastAsia="宋体" w:hAnsi="Times New Roman" w:cs="Times New Roman" w:hint="eastAsia"/>
          <w:color w:val="000000"/>
        </w:rPr>
        <w:t xml:space="preserve">　　南昌航空大学</w:t>
      </w:r>
      <w:r w:rsidRPr="0070231B">
        <w:rPr>
          <w:rFonts w:ascii="Times New Roman" w:eastAsia="宋体" w:hAnsi="Times New Roman" w:cs="Times New Roman" w:hint="eastAsia"/>
          <w:color w:val="000000"/>
        </w:rPr>
        <w:t>2021</w:t>
      </w:r>
      <w:r w:rsidRPr="0070231B">
        <w:rPr>
          <w:rFonts w:ascii="Times New Roman" w:eastAsia="宋体" w:hAnsi="Times New Roman" w:cs="Times New Roman" w:hint="eastAsia"/>
          <w:color w:val="000000"/>
        </w:rPr>
        <w:t>年硕士研究生招生简章</w:t>
      </w:r>
    </w:p>
    <w:p w:rsidR="00F318E9" w:rsidRDefault="00F318E9" w:rsidP="0070231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972F8E" w:rsidRPr="00972F8E" w:rsidRDefault="00972F8E" w:rsidP="00972F8E">
      <w:pPr>
        <w:widowControl/>
        <w:spacing w:beforeAutospacing="1" w:line="480" w:lineRule="auto"/>
        <w:jc w:val="center"/>
        <w:rPr>
          <w:rFonts w:ascii="微软雅黑" w:eastAsia="微软雅黑" w:hAnsi="微软雅黑" w:cs="宋体"/>
          <w:color w:val="333333"/>
          <w:kern w:val="0"/>
          <w:szCs w:val="21"/>
        </w:rPr>
      </w:pPr>
      <w:r w:rsidRPr="00972F8E">
        <w:rPr>
          <w:rFonts w:ascii="宋体" w:eastAsia="宋体" w:hAnsi="宋体" w:cs="宋体" w:hint="eastAsia"/>
          <w:b/>
          <w:bCs/>
          <w:color w:val="FF0000"/>
          <w:kern w:val="0"/>
          <w:sz w:val="28"/>
          <w:szCs w:val="28"/>
        </w:rPr>
        <w:t>热忱欢迎广大考生报考南昌航空大学硕士研究生！</w:t>
      </w:r>
    </w:p>
    <w:p w:rsidR="00972F8E" w:rsidRPr="00972F8E" w:rsidRDefault="00972F8E" w:rsidP="00972F8E">
      <w:pPr>
        <w:widowControl/>
        <w:spacing w:line="400" w:lineRule="atLeast"/>
        <w:jc w:val="left"/>
        <w:rPr>
          <w:rFonts w:ascii="宋体" w:eastAsia="宋体" w:hAnsi="宋体" w:cs="宋体" w:hint="eastAsia"/>
          <w:color w:val="333333"/>
          <w:kern w:val="0"/>
          <w:sz w:val="28"/>
          <w:szCs w:val="28"/>
        </w:rPr>
      </w:pPr>
      <w:r w:rsidRPr="00972F8E">
        <w:rPr>
          <w:rFonts w:ascii="宋体" w:eastAsia="宋体" w:hAnsi="宋体" w:cs="宋体" w:hint="eastAsia"/>
          <w:b/>
          <w:bCs/>
          <w:color w:val="333333"/>
          <w:kern w:val="0"/>
          <w:sz w:val="28"/>
          <w:szCs w:val="28"/>
        </w:rPr>
        <w:t>一、学校简介：</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学校成立于1952年，是一所以工为主、工理文管经法教艺等学科协调发展的多科性大学，主要服务于我国航空工业和地方经济社会建设,是江西省人民政府与国家国防科技工业局共建的具有鲜明航空、国防特色的高等学校。</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学校1985年开始培养硕士研究生，1990年获硕士学位授予权，2010年，获得推荐优秀应届本科毕业生免试攻读硕士研究生资格。拥有环境科学与工程、航空宇航科学与技术和仪器科学与技术三个江西省一流学科和5个国防特色学科。学校具有马克思主义理论（0305）、外国语言文学（0502）、数学（0701）、化学（0703）、机械工程（0802）、光学工程（0803）、仪器科学与技术（0804）、材料科学与工程（0805）、信息与通信工程（0810）、控制科学与工程（0811）、计算机科学与技术（0812）、土木工程（0814）、航空宇航科学与技术（0825）、环境科学与工程（0830）、软件工程（0835）、管理科学与工程（1201）、设计学（1305）等17个一级学科硕士学位授权点，具有电子信息、机械、材料与化工、资源与环境、能源动力、土木水利、交通运输、工程管理、翻译硕士、艺术硕士、公共管理硕士等11个硕士专业学位授权点。材料科学学科、工程学学科、化学学科进入ESI全球排名前1%，步入国际高水平学科行列。同时，还与北京航空航天大学、西北工业大学、华中科技大学、湖南大学、南京航空航天大学、北京师范大学、中国航发北京航空材料研究院等高校和科研院所联合培养博士生。近年来每年招收研究生1000余人，目前在校研究生规模近3000人。</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学校现有教职工2000余人，其中专任教师1500多人；具有博士和硕士学位教师占专任教师总数的92%；博士生导师31人，硕士生导师600余人；有双职双聘中国科学院院士和中国工程院院士7人；有国家杰出青年科学基金获得者、国家“万人计划”科技创新领军人才、国家优秀青年科学基金获得者、国家百千万人才工程人选、中国科学院“百人计划”等国家级人才37人；科技部中青年科技创新领军人才、教育部“新世纪优秀人才支持计划”、江西省百千万人才工程人选、江西省“赣鄱英才555工程”人选、“井冈学者”特聘教授、“青年井冈学者奖励计划”人才、江西省“双千计划”人才、江西省主要学术与学科带头人、江西省文化名家等省部级人才327人。</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随着国家大力发展航空航天产业及国防高科技产业，我校毕业生就业前景将更为广阔、事业平台更为高端、发展潜力更为巨大。</w:t>
      </w:r>
      <w:r w:rsidRPr="00972F8E">
        <w:rPr>
          <w:rFonts w:ascii="宋体" w:eastAsia="宋体" w:hAnsi="宋体" w:cs="宋体" w:hint="eastAsia"/>
          <w:b/>
          <w:bCs/>
          <w:color w:val="333333"/>
          <w:kern w:val="0"/>
          <w:sz w:val="28"/>
          <w:szCs w:val="28"/>
        </w:rPr>
        <w:t> </w:t>
      </w:r>
    </w:p>
    <w:p w:rsidR="00972F8E" w:rsidRPr="00972F8E" w:rsidRDefault="00972F8E" w:rsidP="00972F8E">
      <w:pPr>
        <w:widowControl/>
        <w:spacing w:line="400" w:lineRule="atLeast"/>
        <w:jc w:val="left"/>
        <w:rPr>
          <w:rFonts w:ascii="宋体" w:eastAsia="宋体" w:hAnsi="宋体" w:cs="宋体" w:hint="eastAsia"/>
          <w:color w:val="333333"/>
          <w:kern w:val="0"/>
          <w:sz w:val="28"/>
          <w:szCs w:val="28"/>
        </w:rPr>
      </w:pPr>
      <w:r w:rsidRPr="00972F8E">
        <w:rPr>
          <w:rFonts w:ascii="宋体" w:eastAsia="宋体" w:hAnsi="宋体" w:cs="宋体" w:hint="eastAsia"/>
          <w:b/>
          <w:bCs/>
          <w:color w:val="333333"/>
          <w:kern w:val="0"/>
          <w:sz w:val="28"/>
          <w:szCs w:val="28"/>
        </w:rPr>
        <w:t>二、学科平台：</w:t>
      </w:r>
    </w:p>
    <w:tbl>
      <w:tblPr>
        <w:tblW w:w="0" w:type="auto"/>
        <w:jc w:val="center"/>
        <w:tblCellMar>
          <w:top w:w="15" w:type="dxa"/>
          <w:left w:w="15" w:type="dxa"/>
          <w:bottom w:w="15" w:type="dxa"/>
          <w:right w:w="15" w:type="dxa"/>
        </w:tblCellMar>
        <w:tblLook w:val="04A0" w:firstRow="1" w:lastRow="0" w:firstColumn="1" w:lastColumn="0" w:noHBand="0" w:noVBand="1"/>
      </w:tblPr>
      <w:tblGrid>
        <w:gridCol w:w="5812"/>
        <w:gridCol w:w="2432"/>
      </w:tblGrid>
      <w:tr w:rsidR="00972F8E" w:rsidRPr="00972F8E" w:rsidTr="00972F8E">
        <w:trPr>
          <w:trHeight w:val="288"/>
          <w:jc w:val="center"/>
        </w:trPr>
        <w:tc>
          <w:tcPr>
            <w:tcW w:w="58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b/>
                <w:bCs/>
                <w:color w:val="666666"/>
                <w:kern w:val="0"/>
                <w:szCs w:val="21"/>
              </w:rPr>
              <w:t>机构名称</w:t>
            </w:r>
          </w:p>
        </w:tc>
        <w:tc>
          <w:tcPr>
            <w:tcW w:w="24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b/>
                <w:bCs/>
                <w:color w:val="666666"/>
                <w:kern w:val="0"/>
                <w:szCs w:val="21"/>
              </w:rPr>
              <w:t>管理部门</w:t>
            </w:r>
          </w:p>
        </w:tc>
      </w:tr>
      <w:tr w:rsidR="00972F8E" w:rsidRPr="00972F8E" w:rsidTr="00972F8E">
        <w:trPr>
          <w:jc w:val="center"/>
        </w:trPr>
        <w:tc>
          <w:tcPr>
            <w:tcW w:w="58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lastRenderedPageBreak/>
              <w:t>“无损检测与光电传感技术及应用”国家地方联合工程实验室</w:t>
            </w:r>
          </w:p>
        </w:tc>
        <w:tc>
          <w:tcPr>
            <w:tcW w:w="24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国家发展和改革委员会</w:t>
            </w:r>
          </w:p>
        </w:tc>
      </w:tr>
      <w:tr w:rsidR="00972F8E" w:rsidRPr="00972F8E" w:rsidTr="00972F8E">
        <w:trPr>
          <w:jc w:val="center"/>
        </w:trPr>
        <w:tc>
          <w:tcPr>
            <w:tcW w:w="58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“重金属污染物控制与资源化”国家地方联合工程研究中心</w:t>
            </w:r>
          </w:p>
        </w:tc>
        <w:tc>
          <w:tcPr>
            <w:tcW w:w="24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国家发展和改革委员会</w:t>
            </w:r>
          </w:p>
        </w:tc>
      </w:tr>
      <w:tr w:rsidR="00972F8E" w:rsidRPr="00972F8E" w:rsidTr="00972F8E">
        <w:trPr>
          <w:jc w:val="center"/>
        </w:trPr>
        <w:tc>
          <w:tcPr>
            <w:tcW w:w="58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通航涡轮动力技术教育部工程研究中心</w:t>
            </w:r>
          </w:p>
        </w:tc>
        <w:tc>
          <w:tcPr>
            <w:tcW w:w="24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教育部</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无损检测技术教育部重点实验室</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教育部</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轻合金加工科学与技术国防重点学科实验室</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国防科工委</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江西省航空材料工程技术研究中心</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江西省科技厅</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江西省高校腐蚀与防护重点实验室</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江西省教育厅</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江西省材料科学与工程产学研合作示范培育基地</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 w:val="16"/>
                <w:szCs w:val="16"/>
              </w:rPr>
            </w:pPr>
            <w:r w:rsidRPr="00972F8E">
              <w:rPr>
                <w:rFonts w:ascii="宋体" w:eastAsia="宋体" w:hAnsi="宋体" w:cs="宋体" w:hint="eastAsia"/>
                <w:color w:val="666666"/>
                <w:kern w:val="0"/>
                <w:sz w:val="18"/>
                <w:szCs w:val="18"/>
              </w:rPr>
              <w:t>江西省经贸委、江西省教育厅</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江西省金属材料微结构调控重点实验室</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江西省科技厅</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江西省航空材料表面技术工程研究中心</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江西省发改委</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江西省持久性污染物控制与资源循环利用重点实验室</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江西省科技厅</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环鄱阳湖流域污染物控制与资源化协同创新中心</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江西省教育厅</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持久性污染物控制与循环利用实验室</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江西省教育厅</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江西省重金属污染物控制与资源化工程实验室</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江西省发改委</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江西省造纸化学品工程技术研究中心</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江西省科技厅</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江西省航空构件成形与连接重点实验室</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江西省科技厅</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江西省航空制造与检测智能装备协同创新工程研究中心</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江西省发改委</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江西省快速制造技术生产力促进中心</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江西省科技厅</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江西省航空制造业协同创新中心</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江西省教育厅</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江西省航空构件制造技术工程实验室</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江西省发改委</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“航空材料热加工技术”航空科技重点实验室</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 w:val="18"/>
                <w:szCs w:val="18"/>
              </w:rPr>
            </w:pPr>
            <w:r w:rsidRPr="00972F8E">
              <w:rPr>
                <w:rFonts w:ascii="宋体" w:eastAsia="宋体" w:hAnsi="宋体" w:cs="宋体" w:hint="eastAsia"/>
                <w:color w:val="666666"/>
                <w:kern w:val="0"/>
                <w:sz w:val="18"/>
                <w:szCs w:val="18"/>
              </w:rPr>
              <w:t>中国航空工业第一集团公司</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江西省图像处理与模式识别重点实验室</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江西省科技厅</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江西省微小航空发动机重点实验室</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江西省科技厅</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江西省民用无人机工程技术研究中心</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江西省科技厅</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江西省无人飞行器设计与试验工程研究中心</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江西省发改委</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江西省光电检测技术工程实验室</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江西省发改委</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江西省光电信息科学与技术重点实验室</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江西省科技厅</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江西省测试与控制工程技术研究中心</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江西省科技厅</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“航空检测与评价技术”航空科技重点实验室</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 w:val="18"/>
                <w:szCs w:val="18"/>
              </w:rPr>
            </w:pPr>
            <w:r w:rsidRPr="00972F8E">
              <w:rPr>
                <w:rFonts w:ascii="宋体" w:eastAsia="宋体" w:hAnsi="宋体" w:cs="宋体" w:hint="eastAsia"/>
                <w:color w:val="666666"/>
                <w:kern w:val="0"/>
                <w:sz w:val="18"/>
                <w:szCs w:val="18"/>
              </w:rPr>
              <w:t>中国航空工业第一集团公司</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江西省航空产业发展与管理创新软科学研究基地</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江西省科技厅</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国家体育总局体育文化发展中心体育文化研究基地</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国家体育总局</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江西省智慧建筑工程研究中心</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江西省发改委</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江西省高校思想政治理论课教育教学研究中心</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江西省教育厅</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 w:val="18"/>
                <w:szCs w:val="18"/>
              </w:rPr>
            </w:pPr>
            <w:r w:rsidRPr="00972F8E">
              <w:rPr>
                <w:rFonts w:ascii="宋体" w:eastAsia="宋体" w:hAnsi="宋体" w:cs="宋体" w:hint="eastAsia"/>
                <w:color w:val="666666"/>
                <w:kern w:val="0"/>
                <w:sz w:val="18"/>
                <w:szCs w:val="18"/>
              </w:rPr>
              <w:t>“江西省公共艺术创新研究中心”江西省文化艺术科学重点研究基地</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江西省文旅厅</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江西省非物质文化遗产研究中心</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江西省文旅厅</w:t>
            </w:r>
          </w:p>
        </w:tc>
      </w:tr>
      <w:tr w:rsidR="00972F8E" w:rsidRPr="00972F8E" w:rsidTr="00972F8E">
        <w:trPr>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创意产业校企协同设计中心</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江西省工信厅</w:t>
            </w:r>
          </w:p>
        </w:tc>
      </w:tr>
      <w:tr w:rsidR="00972F8E" w:rsidRPr="00972F8E" w:rsidTr="00972F8E">
        <w:trPr>
          <w:trHeight w:val="331"/>
          <w:jc w:val="center"/>
        </w:trPr>
        <w:tc>
          <w:tcPr>
            <w:tcW w:w="5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江西省计算机与信息技术产学研合作示范培育基地</w:t>
            </w:r>
          </w:p>
        </w:tc>
        <w:tc>
          <w:tcPr>
            <w:tcW w:w="2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 w:val="16"/>
                <w:szCs w:val="16"/>
              </w:rPr>
            </w:pPr>
            <w:r w:rsidRPr="00972F8E">
              <w:rPr>
                <w:rFonts w:ascii="宋体" w:eastAsia="宋体" w:hAnsi="宋体" w:cs="宋体" w:hint="eastAsia"/>
                <w:color w:val="666666"/>
                <w:kern w:val="0"/>
                <w:sz w:val="18"/>
                <w:szCs w:val="18"/>
              </w:rPr>
              <w:t>江西省经贸委、江西省教育厅</w:t>
            </w:r>
          </w:p>
        </w:tc>
      </w:tr>
    </w:tbl>
    <w:p w:rsidR="00972F8E" w:rsidRPr="00972F8E" w:rsidRDefault="00972F8E" w:rsidP="00972F8E">
      <w:pPr>
        <w:widowControl/>
        <w:spacing w:line="400" w:lineRule="atLeast"/>
        <w:jc w:val="left"/>
        <w:rPr>
          <w:rFonts w:ascii="宋体" w:eastAsia="宋体" w:hAnsi="宋体" w:cs="宋体" w:hint="eastAsia"/>
          <w:color w:val="333333"/>
          <w:kern w:val="0"/>
          <w:sz w:val="28"/>
          <w:szCs w:val="28"/>
        </w:rPr>
      </w:pPr>
      <w:r w:rsidRPr="00972F8E">
        <w:rPr>
          <w:rFonts w:ascii="宋体" w:eastAsia="宋体" w:hAnsi="宋体" w:cs="宋体" w:hint="eastAsia"/>
          <w:b/>
          <w:bCs/>
          <w:color w:val="333333"/>
          <w:kern w:val="0"/>
          <w:sz w:val="28"/>
          <w:szCs w:val="28"/>
        </w:rPr>
        <w:lastRenderedPageBreak/>
        <w:t>三、优势学科</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环境科学与工程、航空宇航科学与技术、仪器科学与技术、马克思主义理论、软件工程、材料科学与工程、光学工程、计算机科学与技术、化学。</w:t>
      </w:r>
      <w:r w:rsidRPr="00972F8E">
        <w:rPr>
          <w:rFonts w:ascii="宋体" w:eastAsia="宋体" w:hAnsi="宋体" w:cs="宋体" w:hint="eastAsia"/>
          <w:b/>
          <w:bCs/>
          <w:color w:val="333333"/>
          <w:kern w:val="0"/>
          <w:sz w:val="28"/>
          <w:szCs w:val="28"/>
        </w:rPr>
        <w:t> </w:t>
      </w:r>
    </w:p>
    <w:p w:rsidR="00972F8E" w:rsidRPr="00972F8E" w:rsidRDefault="00972F8E" w:rsidP="00972F8E">
      <w:pPr>
        <w:widowControl/>
        <w:spacing w:line="400" w:lineRule="atLeast"/>
        <w:jc w:val="left"/>
        <w:rPr>
          <w:rFonts w:ascii="宋体" w:eastAsia="宋体" w:hAnsi="宋体" w:cs="宋体" w:hint="eastAsia"/>
          <w:color w:val="333333"/>
          <w:kern w:val="0"/>
          <w:sz w:val="28"/>
          <w:szCs w:val="28"/>
        </w:rPr>
      </w:pPr>
      <w:r w:rsidRPr="00972F8E">
        <w:rPr>
          <w:rFonts w:ascii="宋体" w:eastAsia="宋体" w:hAnsi="宋体" w:cs="宋体" w:hint="eastAsia"/>
          <w:b/>
          <w:bCs/>
          <w:color w:val="333333"/>
          <w:kern w:val="0"/>
          <w:sz w:val="28"/>
          <w:szCs w:val="28"/>
        </w:rPr>
        <w:t>四、奖励资助政策</w:t>
      </w:r>
      <w:r w:rsidRPr="00972F8E">
        <w:rPr>
          <w:rFonts w:ascii="宋体" w:eastAsia="宋体" w:hAnsi="宋体" w:cs="宋体" w:hint="eastAsia"/>
          <w:color w:val="333333"/>
          <w:kern w:val="0"/>
          <w:szCs w:val="21"/>
        </w:rPr>
        <w:t>（实际发放以学校有关奖助文件为准）</w:t>
      </w:r>
    </w:p>
    <w:tbl>
      <w:tblPr>
        <w:tblW w:w="0" w:type="auto"/>
        <w:jc w:val="center"/>
        <w:tblCellMar>
          <w:top w:w="15" w:type="dxa"/>
          <w:left w:w="15" w:type="dxa"/>
          <w:bottom w:w="15" w:type="dxa"/>
          <w:right w:w="15" w:type="dxa"/>
        </w:tblCellMar>
        <w:tblLook w:val="04A0" w:firstRow="1" w:lastRow="0" w:firstColumn="1" w:lastColumn="0" w:noHBand="0" w:noVBand="1"/>
      </w:tblPr>
      <w:tblGrid>
        <w:gridCol w:w="1423"/>
        <w:gridCol w:w="4689"/>
        <w:gridCol w:w="1161"/>
        <w:gridCol w:w="1249"/>
      </w:tblGrid>
      <w:tr w:rsidR="00972F8E" w:rsidRPr="00972F8E" w:rsidTr="00972F8E">
        <w:trPr>
          <w:trHeight w:val="288"/>
          <w:jc w:val="center"/>
        </w:trPr>
        <w:tc>
          <w:tcPr>
            <w:tcW w:w="1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b/>
                <w:bCs/>
                <w:color w:val="333333"/>
                <w:kern w:val="0"/>
                <w:szCs w:val="21"/>
              </w:rPr>
              <w:t>奖项名称</w:t>
            </w:r>
          </w:p>
        </w:tc>
        <w:tc>
          <w:tcPr>
            <w:tcW w:w="5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b/>
                <w:bCs/>
                <w:color w:val="333333"/>
                <w:kern w:val="0"/>
                <w:szCs w:val="21"/>
              </w:rPr>
              <w:t>设置对象</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b/>
                <w:bCs/>
                <w:color w:val="333333"/>
                <w:kern w:val="0"/>
                <w:szCs w:val="21"/>
              </w:rPr>
              <w:t>金额标准</w:t>
            </w:r>
          </w:p>
        </w:tc>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b/>
                <w:bCs/>
                <w:color w:val="333333"/>
                <w:kern w:val="0"/>
                <w:szCs w:val="21"/>
              </w:rPr>
              <w:t>获奖比例</w:t>
            </w:r>
          </w:p>
        </w:tc>
      </w:tr>
      <w:tr w:rsidR="00972F8E" w:rsidRPr="00972F8E" w:rsidTr="00972F8E">
        <w:trPr>
          <w:trHeight w:val="288"/>
          <w:jc w:val="center"/>
        </w:trPr>
        <w:tc>
          <w:tcPr>
            <w:tcW w:w="15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优秀生源奖励</w:t>
            </w:r>
          </w:p>
        </w:tc>
        <w:tc>
          <w:tcPr>
            <w:tcW w:w="5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被我校工学类专业硕士学位及可按工学门类招生的理学专业正式接收的校内外推免生（专项推免计划除外）。</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10000元/生</w:t>
            </w:r>
          </w:p>
        </w:tc>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100%</w:t>
            </w:r>
          </w:p>
        </w:tc>
      </w:tr>
      <w:tr w:rsidR="00972F8E" w:rsidRPr="00972F8E" w:rsidTr="00972F8E">
        <w:trPr>
          <w:trHeight w:val="28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2F8E" w:rsidRPr="00972F8E" w:rsidRDefault="00972F8E" w:rsidP="00972F8E">
            <w:pPr>
              <w:widowControl/>
              <w:jc w:val="left"/>
              <w:rPr>
                <w:rFonts w:ascii="宋体" w:eastAsia="宋体" w:hAnsi="宋体" w:cs="宋体"/>
                <w:color w:val="666666"/>
                <w:kern w:val="0"/>
                <w:szCs w:val="21"/>
              </w:rPr>
            </w:pPr>
          </w:p>
        </w:tc>
        <w:tc>
          <w:tcPr>
            <w:tcW w:w="5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被我校其他学科门类正式接收的校内外推免生（专项推免计划除外）。</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6000元/生</w:t>
            </w:r>
          </w:p>
        </w:tc>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100%</w:t>
            </w:r>
          </w:p>
        </w:tc>
      </w:tr>
      <w:tr w:rsidR="00972F8E" w:rsidRPr="00972F8E" w:rsidTr="00972F8E">
        <w:trPr>
          <w:trHeight w:val="28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2F8E" w:rsidRPr="00972F8E" w:rsidRDefault="00972F8E" w:rsidP="00972F8E">
            <w:pPr>
              <w:widowControl/>
              <w:jc w:val="left"/>
              <w:rPr>
                <w:rFonts w:ascii="宋体" w:eastAsia="宋体" w:hAnsi="宋体" w:cs="宋体"/>
                <w:color w:val="666666"/>
                <w:kern w:val="0"/>
                <w:szCs w:val="21"/>
              </w:rPr>
            </w:pPr>
          </w:p>
        </w:tc>
        <w:tc>
          <w:tcPr>
            <w:tcW w:w="5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具有硕士学位授予权高校的全日制应届本科毕业生一志愿报考我校，初试成绩高于国家线30分以上（根据每年生源整体情况另行确定）。</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4000元/生</w:t>
            </w:r>
          </w:p>
        </w:tc>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10-50名，择优遴选</w:t>
            </w:r>
          </w:p>
        </w:tc>
      </w:tr>
      <w:tr w:rsidR="00972F8E" w:rsidRPr="00972F8E" w:rsidTr="00972F8E">
        <w:trPr>
          <w:trHeight w:val="288"/>
          <w:jc w:val="center"/>
        </w:trPr>
        <w:tc>
          <w:tcPr>
            <w:tcW w:w="1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国家奖学金</w:t>
            </w:r>
          </w:p>
        </w:tc>
        <w:tc>
          <w:tcPr>
            <w:tcW w:w="5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全日制研究生均可纳入评选范围。</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20000元/年/生</w:t>
            </w:r>
          </w:p>
        </w:tc>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省教育厅下达指标</w:t>
            </w:r>
          </w:p>
        </w:tc>
      </w:tr>
      <w:tr w:rsidR="00972F8E" w:rsidRPr="00972F8E" w:rsidTr="00972F8E">
        <w:trPr>
          <w:trHeight w:val="288"/>
          <w:jc w:val="center"/>
        </w:trPr>
        <w:tc>
          <w:tcPr>
            <w:tcW w:w="1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江西省政府奖学金</w:t>
            </w:r>
          </w:p>
        </w:tc>
        <w:tc>
          <w:tcPr>
            <w:tcW w:w="5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全日制研究生均可纳入评选范围。</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10000元/年/生</w:t>
            </w:r>
          </w:p>
        </w:tc>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省教育厅下达指标</w:t>
            </w:r>
          </w:p>
        </w:tc>
      </w:tr>
      <w:tr w:rsidR="00972F8E" w:rsidRPr="00972F8E" w:rsidTr="00972F8E">
        <w:trPr>
          <w:trHeight w:val="562"/>
          <w:jc w:val="center"/>
        </w:trPr>
        <w:tc>
          <w:tcPr>
            <w:tcW w:w="1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学业奖学金（一等）</w:t>
            </w:r>
          </w:p>
        </w:tc>
        <w:tc>
          <w:tcPr>
            <w:tcW w:w="507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纳入全国研究生招生计划的具有中国国籍的全日制研究生。</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10000元/年/生</w:t>
            </w:r>
          </w:p>
        </w:tc>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20%</w:t>
            </w:r>
          </w:p>
        </w:tc>
      </w:tr>
      <w:tr w:rsidR="00972F8E" w:rsidRPr="00972F8E" w:rsidTr="00972F8E">
        <w:trPr>
          <w:trHeight w:val="288"/>
          <w:jc w:val="center"/>
        </w:trPr>
        <w:tc>
          <w:tcPr>
            <w:tcW w:w="1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学业奖学金（二等）</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2F8E" w:rsidRPr="00972F8E" w:rsidRDefault="00972F8E" w:rsidP="00972F8E">
            <w:pPr>
              <w:widowControl/>
              <w:jc w:val="left"/>
              <w:rPr>
                <w:rFonts w:ascii="宋体" w:eastAsia="宋体" w:hAnsi="宋体" w:cs="宋体"/>
                <w:color w:val="666666"/>
                <w:kern w:val="0"/>
                <w:szCs w:val="21"/>
              </w:rPr>
            </w:pP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8000元/年/生</w:t>
            </w:r>
          </w:p>
        </w:tc>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60%</w:t>
            </w:r>
          </w:p>
        </w:tc>
      </w:tr>
      <w:tr w:rsidR="00972F8E" w:rsidRPr="00972F8E" w:rsidTr="00972F8E">
        <w:trPr>
          <w:trHeight w:val="288"/>
          <w:jc w:val="center"/>
        </w:trPr>
        <w:tc>
          <w:tcPr>
            <w:tcW w:w="1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学业奖学金（三等）</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72F8E" w:rsidRPr="00972F8E" w:rsidRDefault="00972F8E" w:rsidP="00972F8E">
            <w:pPr>
              <w:widowControl/>
              <w:jc w:val="left"/>
              <w:rPr>
                <w:rFonts w:ascii="宋体" w:eastAsia="宋体" w:hAnsi="宋体" w:cs="宋体"/>
                <w:color w:val="666666"/>
                <w:kern w:val="0"/>
                <w:szCs w:val="21"/>
              </w:rPr>
            </w:pP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6000元/年/生</w:t>
            </w:r>
          </w:p>
        </w:tc>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20%</w:t>
            </w:r>
          </w:p>
        </w:tc>
      </w:tr>
      <w:tr w:rsidR="00972F8E" w:rsidRPr="00972F8E" w:rsidTr="00972F8E">
        <w:trPr>
          <w:trHeight w:val="288"/>
          <w:jc w:val="center"/>
        </w:trPr>
        <w:tc>
          <w:tcPr>
            <w:tcW w:w="1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国家助学金</w:t>
            </w:r>
          </w:p>
        </w:tc>
        <w:tc>
          <w:tcPr>
            <w:tcW w:w="5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纳入全国研究生招生计划的具有中国国籍且人事档案到校的全日制研究生</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6000元/年/生</w:t>
            </w:r>
          </w:p>
        </w:tc>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100%</w:t>
            </w:r>
          </w:p>
        </w:tc>
      </w:tr>
      <w:tr w:rsidR="00972F8E" w:rsidRPr="00972F8E" w:rsidTr="00972F8E">
        <w:trPr>
          <w:trHeight w:val="288"/>
          <w:jc w:val="center"/>
        </w:trPr>
        <w:tc>
          <w:tcPr>
            <w:tcW w:w="1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“三助一辅”</w:t>
            </w:r>
          </w:p>
        </w:tc>
        <w:tc>
          <w:tcPr>
            <w:tcW w:w="5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学校还设有“三助一辅”（助管、助教、助研、兼职辅导员）岗位，为学生提供工作补贴</w:t>
            </w:r>
            <w:r w:rsidRPr="00972F8E">
              <w:rPr>
                <w:rFonts w:ascii="宋体" w:eastAsia="宋体" w:hAnsi="宋体" w:cs="宋体" w:hint="eastAsia"/>
                <w:color w:val="666666"/>
                <w:kern w:val="0"/>
                <w:szCs w:val="21"/>
              </w:rPr>
              <w:t>；部分硕士生导师还为研究生提供较好的科研补助和高水平成果奖励。</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4000-8000元/年/生</w:t>
            </w:r>
          </w:p>
        </w:tc>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动态</w:t>
            </w:r>
          </w:p>
        </w:tc>
      </w:tr>
      <w:tr w:rsidR="00972F8E" w:rsidRPr="00972F8E" w:rsidTr="00972F8E">
        <w:trPr>
          <w:trHeight w:val="288"/>
          <w:jc w:val="center"/>
        </w:trPr>
        <w:tc>
          <w:tcPr>
            <w:tcW w:w="1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困难补助</w:t>
            </w:r>
          </w:p>
        </w:tc>
        <w:tc>
          <w:tcPr>
            <w:tcW w:w="5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在校正常学籍，家庭或个人遭受重大变故的全日制研究生。</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1000-5000元/年/生</w:t>
            </w:r>
          </w:p>
        </w:tc>
        <w:tc>
          <w:tcPr>
            <w:tcW w:w="13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333333"/>
                <w:kern w:val="0"/>
                <w:szCs w:val="21"/>
              </w:rPr>
              <w:t>名额和金额视申请情况而定</w:t>
            </w:r>
          </w:p>
        </w:tc>
      </w:tr>
    </w:tbl>
    <w:p w:rsidR="00972F8E" w:rsidRPr="00972F8E" w:rsidRDefault="00972F8E" w:rsidP="00972F8E">
      <w:pPr>
        <w:widowControl/>
        <w:spacing w:line="400" w:lineRule="atLeast"/>
        <w:jc w:val="left"/>
        <w:rPr>
          <w:rFonts w:ascii="宋体" w:eastAsia="宋体" w:hAnsi="宋体" w:cs="宋体" w:hint="eastAsia"/>
          <w:color w:val="333333"/>
          <w:kern w:val="0"/>
          <w:sz w:val="28"/>
          <w:szCs w:val="28"/>
        </w:rPr>
      </w:pPr>
      <w:r w:rsidRPr="00972F8E">
        <w:rPr>
          <w:rFonts w:ascii="宋体" w:eastAsia="宋体" w:hAnsi="宋体" w:cs="宋体" w:hint="eastAsia"/>
          <w:b/>
          <w:bCs/>
          <w:color w:val="333333"/>
          <w:kern w:val="0"/>
          <w:sz w:val="28"/>
          <w:szCs w:val="28"/>
        </w:rPr>
        <w:t>五、招生录取原则</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公平，公正，公开；</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稳定规模，注重质量；</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一视同仁，择优录取。</w:t>
      </w:r>
    </w:p>
    <w:p w:rsidR="00972F8E" w:rsidRPr="00972F8E" w:rsidRDefault="00972F8E" w:rsidP="00972F8E">
      <w:pPr>
        <w:widowControl/>
        <w:spacing w:line="400" w:lineRule="atLeast"/>
        <w:jc w:val="left"/>
        <w:rPr>
          <w:rFonts w:ascii="宋体" w:eastAsia="宋体" w:hAnsi="宋体" w:cs="宋体" w:hint="eastAsia"/>
          <w:color w:val="333333"/>
          <w:kern w:val="0"/>
          <w:sz w:val="28"/>
          <w:szCs w:val="28"/>
        </w:rPr>
      </w:pPr>
      <w:r w:rsidRPr="00972F8E">
        <w:rPr>
          <w:rFonts w:ascii="宋体" w:eastAsia="宋体" w:hAnsi="宋体" w:cs="宋体" w:hint="eastAsia"/>
          <w:b/>
          <w:bCs/>
          <w:color w:val="333333"/>
          <w:kern w:val="0"/>
          <w:sz w:val="28"/>
          <w:szCs w:val="28"/>
        </w:rPr>
        <w:lastRenderedPageBreak/>
        <w:t>六、申请或报考条件</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（一）推荐免试生</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1.申请者须具备的基本条件</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（1）获得本科所在学校的2021年推荐免试资格。</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（2）拥护中国共产党的领导，具有良好的思想品德和政治素质，遵纪守法。</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（3）本科阶段学习成绩优秀，学术研究兴趣浓厚，有较好的专业能力和较强的创新意识，学风端正。</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（4）身体健康状况符合国家规定的报考研究生体检要求。</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2．我校公布的2021年接收推免生招生专业目录中的专业均可接收推免生。</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（二）全国统考生</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报名参加全国硕士研究生招生考试的人员，须符合下列条件：</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1.中华人民共和国公民。</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2.拥护中国共产党的领导，品德良好，遵纪守法。</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3.身体健康状况符合国家和招生单位规定的体检要求。</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4.考生学业水平必须符合下列条件之一：</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1）国家承认学历的应届本科毕业生（含普通高校、成人高校、普通高校举办的成人高等学历教育等应届本科毕业生）及自学考试和网络教育届时可毕业本科生。考生录取当年入学前（具体期限由招生单位规定）必须取得国家承认的本科毕业证书或教育部留学服务中心出具的《国（境）外学历学位认证书》，否则录取资格无效。</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（2）具有国家承认的大学本科毕业学历的人员。</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3）获得国家承认的高职高专毕业学历后满2年（从毕业后到录取当年入学之日，下同）或2年以上的人员，以及国家承认学历的本科结业生，符合招生单位根据本单位的培养目标对考生提出的具体学业要求的，按本科毕业同等学力身份报考。</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（4）已获硕士、博士学位的人员。</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在校研究生报考须在报名前征得所在培养单位同意。</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5.报名参加我校公共管理（代码为125200）、工程管理（代码为125601）、项目管理（代码为125602）专业学位硕士研究生招生考试的人员，除需符合以上第1、2、3各项的要求外，还需符合以下要求：大学本科毕业后有3年以上工作经验的人员；或获得国家承认的高职高专毕业学历或大学本科结业后，符合招生单位相关学业要求，达到大学本科毕业同等学力并有5年以上工作经验的人员；或获得硕士学位或博士学位后有2年以上工作经验的人员。</w:t>
      </w:r>
    </w:p>
    <w:p w:rsidR="00972F8E" w:rsidRPr="00972F8E" w:rsidRDefault="00972F8E" w:rsidP="00972F8E">
      <w:pPr>
        <w:widowControl/>
        <w:spacing w:line="400" w:lineRule="atLeast"/>
        <w:jc w:val="left"/>
        <w:rPr>
          <w:rFonts w:ascii="宋体" w:eastAsia="宋体" w:hAnsi="宋体" w:cs="宋体" w:hint="eastAsia"/>
          <w:color w:val="333333"/>
          <w:kern w:val="0"/>
          <w:sz w:val="28"/>
          <w:szCs w:val="28"/>
        </w:rPr>
      </w:pPr>
      <w:r w:rsidRPr="00972F8E">
        <w:rPr>
          <w:rFonts w:ascii="宋体" w:eastAsia="宋体" w:hAnsi="宋体" w:cs="宋体" w:hint="eastAsia"/>
          <w:b/>
          <w:bCs/>
          <w:color w:val="333333"/>
          <w:kern w:val="0"/>
          <w:sz w:val="28"/>
          <w:szCs w:val="28"/>
        </w:rPr>
        <w:t>七、学费、学制及学历学位证书</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lastRenderedPageBreak/>
        <w:t>学术型硕士学习方式全部为全日制，每学年学费8000元；各专业型硕士学习方式及学费见下表：</w:t>
      </w:r>
    </w:p>
    <w:tbl>
      <w:tblPr>
        <w:tblW w:w="0" w:type="auto"/>
        <w:jc w:val="center"/>
        <w:tblCellMar>
          <w:top w:w="15" w:type="dxa"/>
          <w:left w:w="15" w:type="dxa"/>
          <w:bottom w:w="15" w:type="dxa"/>
          <w:right w:w="15" w:type="dxa"/>
        </w:tblCellMar>
        <w:tblLook w:val="04A0" w:firstRow="1" w:lastRow="0" w:firstColumn="1" w:lastColumn="0" w:noHBand="0" w:noVBand="1"/>
      </w:tblPr>
      <w:tblGrid>
        <w:gridCol w:w="1645"/>
        <w:gridCol w:w="2268"/>
        <w:gridCol w:w="1842"/>
        <w:gridCol w:w="1587"/>
      </w:tblGrid>
      <w:tr w:rsidR="00972F8E" w:rsidRPr="00972F8E" w:rsidTr="00972F8E">
        <w:trPr>
          <w:trHeight w:val="346"/>
          <w:jc w:val="center"/>
        </w:trPr>
        <w:tc>
          <w:tcPr>
            <w:tcW w:w="16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b/>
                <w:bCs/>
                <w:color w:val="666666"/>
                <w:kern w:val="0"/>
                <w:szCs w:val="21"/>
              </w:rPr>
              <w:t>专业学位代码</w:t>
            </w:r>
          </w:p>
        </w:tc>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b/>
                <w:bCs/>
                <w:color w:val="666666"/>
                <w:kern w:val="0"/>
                <w:szCs w:val="21"/>
              </w:rPr>
              <w:t>专业学位名称</w:t>
            </w:r>
          </w:p>
        </w:tc>
        <w:tc>
          <w:tcPr>
            <w:tcW w:w="18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b/>
                <w:bCs/>
                <w:color w:val="666666"/>
                <w:kern w:val="0"/>
                <w:szCs w:val="21"/>
              </w:rPr>
              <w:t>学习方式</w:t>
            </w:r>
          </w:p>
        </w:tc>
        <w:tc>
          <w:tcPr>
            <w:tcW w:w="1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b/>
                <w:bCs/>
                <w:color w:val="666666"/>
                <w:kern w:val="0"/>
                <w:szCs w:val="21"/>
              </w:rPr>
              <w:t>学费（元/年）</w:t>
            </w:r>
          </w:p>
        </w:tc>
      </w:tr>
      <w:tr w:rsidR="00972F8E" w:rsidRPr="00972F8E" w:rsidTr="00972F8E">
        <w:trPr>
          <w:trHeight w:val="288"/>
          <w:jc w:val="center"/>
        </w:trPr>
        <w:tc>
          <w:tcPr>
            <w:tcW w:w="16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055100</w:t>
            </w:r>
          </w:p>
        </w:tc>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翻译</w:t>
            </w:r>
          </w:p>
        </w:tc>
        <w:tc>
          <w:tcPr>
            <w:tcW w:w="18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全日制</w:t>
            </w:r>
          </w:p>
        </w:tc>
        <w:tc>
          <w:tcPr>
            <w:tcW w:w="1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12000</w:t>
            </w:r>
          </w:p>
        </w:tc>
      </w:tr>
      <w:tr w:rsidR="00972F8E" w:rsidRPr="00972F8E" w:rsidTr="00972F8E">
        <w:trPr>
          <w:trHeight w:val="288"/>
          <w:jc w:val="center"/>
        </w:trPr>
        <w:tc>
          <w:tcPr>
            <w:tcW w:w="16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085400</w:t>
            </w:r>
          </w:p>
        </w:tc>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电子信息</w:t>
            </w:r>
          </w:p>
        </w:tc>
        <w:tc>
          <w:tcPr>
            <w:tcW w:w="18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全日制/非全日制</w:t>
            </w:r>
          </w:p>
        </w:tc>
        <w:tc>
          <w:tcPr>
            <w:tcW w:w="1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8000</w:t>
            </w:r>
          </w:p>
        </w:tc>
      </w:tr>
      <w:tr w:rsidR="00972F8E" w:rsidRPr="00972F8E" w:rsidTr="00972F8E">
        <w:trPr>
          <w:trHeight w:val="288"/>
          <w:jc w:val="center"/>
        </w:trPr>
        <w:tc>
          <w:tcPr>
            <w:tcW w:w="16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085500</w:t>
            </w:r>
          </w:p>
        </w:tc>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机械</w:t>
            </w:r>
          </w:p>
        </w:tc>
        <w:tc>
          <w:tcPr>
            <w:tcW w:w="18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全日制/非全日制</w:t>
            </w:r>
          </w:p>
        </w:tc>
        <w:tc>
          <w:tcPr>
            <w:tcW w:w="1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8000</w:t>
            </w:r>
          </w:p>
        </w:tc>
      </w:tr>
      <w:tr w:rsidR="00972F8E" w:rsidRPr="00972F8E" w:rsidTr="00972F8E">
        <w:trPr>
          <w:trHeight w:val="288"/>
          <w:jc w:val="center"/>
        </w:trPr>
        <w:tc>
          <w:tcPr>
            <w:tcW w:w="16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085600</w:t>
            </w:r>
          </w:p>
        </w:tc>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材料与化工</w:t>
            </w:r>
          </w:p>
        </w:tc>
        <w:tc>
          <w:tcPr>
            <w:tcW w:w="18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全日制/非全日制</w:t>
            </w:r>
          </w:p>
        </w:tc>
        <w:tc>
          <w:tcPr>
            <w:tcW w:w="1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8000</w:t>
            </w:r>
          </w:p>
        </w:tc>
      </w:tr>
      <w:tr w:rsidR="00972F8E" w:rsidRPr="00972F8E" w:rsidTr="00972F8E">
        <w:trPr>
          <w:trHeight w:val="288"/>
          <w:jc w:val="center"/>
        </w:trPr>
        <w:tc>
          <w:tcPr>
            <w:tcW w:w="16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085700</w:t>
            </w:r>
          </w:p>
        </w:tc>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资源与环境</w:t>
            </w:r>
          </w:p>
        </w:tc>
        <w:tc>
          <w:tcPr>
            <w:tcW w:w="18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全日制</w:t>
            </w:r>
          </w:p>
        </w:tc>
        <w:tc>
          <w:tcPr>
            <w:tcW w:w="1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8000</w:t>
            </w:r>
          </w:p>
        </w:tc>
      </w:tr>
      <w:tr w:rsidR="00972F8E" w:rsidRPr="00972F8E" w:rsidTr="00972F8E">
        <w:trPr>
          <w:trHeight w:val="288"/>
          <w:jc w:val="center"/>
        </w:trPr>
        <w:tc>
          <w:tcPr>
            <w:tcW w:w="16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085800</w:t>
            </w:r>
          </w:p>
        </w:tc>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能源动力</w:t>
            </w:r>
          </w:p>
        </w:tc>
        <w:tc>
          <w:tcPr>
            <w:tcW w:w="18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全日制/非全日制</w:t>
            </w:r>
          </w:p>
        </w:tc>
        <w:tc>
          <w:tcPr>
            <w:tcW w:w="1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8000</w:t>
            </w:r>
          </w:p>
        </w:tc>
      </w:tr>
      <w:tr w:rsidR="00972F8E" w:rsidRPr="00972F8E" w:rsidTr="00972F8E">
        <w:trPr>
          <w:trHeight w:val="288"/>
          <w:jc w:val="center"/>
        </w:trPr>
        <w:tc>
          <w:tcPr>
            <w:tcW w:w="16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085900</w:t>
            </w:r>
          </w:p>
        </w:tc>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土木水利</w:t>
            </w:r>
          </w:p>
        </w:tc>
        <w:tc>
          <w:tcPr>
            <w:tcW w:w="18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全日制/非全日制</w:t>
            </w:r>
          </w:p>
        </w:tc>
        <w:tc>
          <w:tcPr>
            <w:tcW w:w="1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8000</w:t>
            </w:r>
          </w:p>
        </w:tc>
      </w:tr>
      <w:tr w:rsidR="00972F8E" w:rsidRPr="00972F8E" w:rsidTr="00972F8E">
        <w:trPr>
          <w:trHeight w:val="288"/>
          <w:jc w:val="center"/>
        </w:trPr>
        <w:tc>
          <w:tcPr>
            <w:tcW w:w="16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086100</w:t>
            </w:r>
          </w:p>
        </w:tc>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交通运输</w:t>
            </w:r>
          </w:p>
        </w:tc>
        <w:tc>
          <w:tcPr>
            <w:tcW w:w="18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全日制/非全日制</w:t>
            </w:r>
          </w:p>
        </w:tc>
        <w:tc>
          <w:tcPr>
            <w:tcW w:w="1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8000</w:t>
            </w:r>
          </w:p>
        </w:tc>
      </w:tr>
      <w:tr w:rsidR="00972F8E" w:rsidRPr="00972F8E" w:rsidTr="00972F8E">
        <w:trPr>
          <w:trHeight w:val="288"/>
          <w:jc w:val="center"/>
        </w:trPr>
        <w:tc>
          <w:tcPr>
            <w:tcW w:w="16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125200</w:t>
            </w:r>
          </w:p>
        </w:tc>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公共管理（MPA）</w:t>
            </w:r>
          </w:p>
        </w:tc>
        <w:tc>
          <w:tcPr>
            <w:tcW w:w="18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全日制/非全日制</w:t>
            </w:r>
          </w:p>
        </w:tc>
        <w:tc>
          <w:tcPr>
            <w:tcW w:w="1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12000</w:t>
            </w:r>
          </w:p>
        </w:tc>
      </w:tr>
      <w:tr w:rsidR="00972F8E" w:rsidRPr="00972F8E" w:rsidTr="00972F8E">
        <w:trPr>
          <w:trHeight w:val="288"/>
          <w:jc w:val="center"/>
        </w:trPr>
        <w:tc>
          <w:tcPr>
            <w:tcW w:w="1645" w:type="dxa"/>
            <w:tcBorders>
              <w:top w:val="single" w:sz="8" w:space="0" w:color="DDDDDD"/>
              <w:left w:val="single" w:sz="8" w:space="0" w:color="DDDDDD"/>
              <w:bottom w:val="nil"/>
              <w:right w:val="single" w:sz="8" w:space="0" w:color="DDDDDD"/>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125601</w:t>
            </w:r>
          </w:p>
        </w:tc>
        <w:tc>
          <w:tcPr>
            <w:tcW w:w="2268" w:type="dxa"/>
            <w:tcBorders>
              <w:top w:val="single" w:sz="8" w:space="0" w:color="DDDDDD"/>
              <w:left w:val="single" w:sz="8" w:space="0" w:color="DDDDDD"/>
              <w:bottom w:val="nil"/>
              <w:right w:val="single" w:sz="8" w:space="0" w:color="DDDDDD"/>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工程管理</w:t>
            </w:r>
          </w:p>
        </w:tc>
        <w:tc>
          <w:tcPr>
            <w:tcW w:w="18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全日制/非全日制</w:t>
            </w:r>
          </w:p>
        </w:tc>
        <w:tc>
          <w:tcPr>
            <w:tcW w:w="1587" w:type="dxa"/>
            <w:tcBorders>
              <w:top w:val="single" w:sz="8" w:space="0" w:color="DDDDDD"/>
              <w:left w:val="single" w:sz="8" w:space="0" w:color="DDDDDD"/>
              <w:bottom w:val="nil"/>
              <w:right w:val="single" w:sz="8" w:space="0" w:color="DDDDDD"/>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8000</w:t>
            </w:r>
          </w:p>
        </w:tc>
      </w:tr>
      <w:tr w:rsidR="00972F8E" w:rsidRPr="00972F8E" w:rsidTr="00972F8E">
        <w:trPr>
          <w:trHeight w:val="288"/>
          <w:jc w:val="center"/>
        </w:trPr>
        <w:tc>
          <w:tcPr>
            <w:tcW w:w="16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125602</w:t>
            </w:r>
          </w:p>
        </w:tc>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项目管理</w:t>
            </w:r>
          </w:p>
        </w:tc>
        <w:tc>
          <w:tcPr>
            <w:tcW w:w="18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全日制/非全日制</w:t>
            </w:r>
          </w:p>
        </w:tc>
        <w:tc>
          <w:tcPr>
            <w:tcW w:w="1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8000</w:t>
            </w:r>
          </w:p>
        </w:tc>
      </w:tr>
      <w:tr w:rsidR="00972F8E" w:rsidRPr="00972F8E" w:rsidTr="00972F8E">
        <w:trPr>
          <w:trHeight w:val="346"/>
          <w:jc w:val="center"/>
        </w:trPr>
        <w:tc>
          <w:tcPr>
            <w:tcW w:w="16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125603</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工业工程与管理</w:t>
            </w:r>
          </w:p>
        </w:tc>
        <w:tc>
          <w:tcPr>
            <w:tcW w:w="18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全日制</w:t>
            </w:r>
          </w:p>
        </w:tc>
        <w:tc>
          <w:tcPr>
            <w:tcW w:w="1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8000</w:t>
            </w:r>
          </w:p>
        </w:tc>
      </w:tr>
      <w:tr w:rsidR="00972F8E" w:rsidRPr="00972F8E" w:rsidTr="00972F8E">
        <w:trPr>
          <w:trHeight w:val="346"/>
          <w:jc w:val="center"/>
        </w:trPr>
        <w:tc>
          <w:tcPr>
            <w:tcW w:w="16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135101</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音乐</w:t>
            </w:r>
          </w:p>
        </w:tc>
        <w:tc>
          <w:tcPr>
            <w:tcW w:w="18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全日制</w:t>
            </w:r>
          </w:p>
        </w:tc>
        <w:tc>
          <w:tcPr>
            <w:tcW w:w="1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12000</w:t>
            </w:r>
          </w:p>
        </w:tc>
      </w:tr>
      <w:tr w:rsidR="00972F8E" w:rsidRPr="00972F8E" w:rsidTr="00972F8E">
        <w:trPr>
          <w:trHeight w:val="346"/>
          <w:jc w:val="center"/>
        </w:trPr>
        <w:tc>
          <w:tcPr>
            <w:tcW w:w="1645" w:type="dxa"/>
            <w:tcBorders>
              <w:top w:val="single" w:sz="8" w:space="0" w:color="DDDDDD"/>
              <w:left w:val="single" w:sz="8" w:space="0" w:color="DDDDDD"/>
              <w:bottom w:val="nil"/>
              <w:right w:val="single" w:sz="8" w:space="0" w:color="DDDDDD"/>
            </w:tcBorders>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135105</w:t>
            </w:r>
          </w:p>
        </w:tc>
        <w:tc>
          <w:tcPr>
            <w:tcW w:w="2268" w:type="dxa"/>
            <w:tcBorders>
              <w:top w:val="single" w:sz="8" w:space="0" w:color="DDDDDD"/>
              <w:left w:val="single" w:sz="8" w:space="0" w:color="DDDDDD"/>
              <w:bottom w:val="nil"/>
              <w:right w:val="single" w:sz="8" w:space="0" w:color="DDDDDD"/>
            </w:tcBorders>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广播电视</w:t>
            </w:r>
          </w:p>
        </w:tc>
        <w:tc>
          <w:tcPr>
            <w:tcW w:w="18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全日制/非全日制</w:t>
            </w:r>
          </w:p>
        </w:tc>
        <w:tc>
          <w:tcPr>
            <w:tcW w:w="1587" w:type="dxa"/>
            <w:tcBorders>
              <w:top w:val="single" w:sz="8" w:space="0" w:color="DDDDDD"/>
              <w:left w:val="single" w:sz="8" w:space="0" w:color="DDDDDD"/>
              <w:bottom w:val="nil"/>
              <w:right w:val="single" w:sz="8" w:space="0" w:color="DDDDDD"/>
            </w:tcBorders>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12000</w:t>
            </w:r>
          </w:p>
        </w:tc>
      </w:tr>
      <w:tr w:rsidR="00972F8E" w:rsidRPr="00972F8E" w:rsidTr="00972F8E">
        <w:trPr>
          <w:trHeight w:val="346"/>
          <w:jc w:val="center"/>
        </w:trPr>
        <w:tc>
          <w:tcPr>
            <w:tcW w:w="16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135108</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艺术设计</w:t>
            </w:r>
          </w:p>
        </w:tc>
        <w:tc>
          <w:tcPr>
            <w:tcW w:w="18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全日制</w:t>
            </w:r>
          </w:p>
        </w:tc>
        <w:tc>
          <w:tcPr>
            <w:tcW w:w="1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F8E" w:rsidRPr="00972F8E" w:rsidRDefault="00972F8E" w:rsidP="00972F8E">
            <w:pPr>
              <w:widowControl/>
              <w:spacing w:line="259" w:lineRule="auto"/>
              <w:jc w:val="center"/>
              <w:rPr>
                <w:rFonts w:ascii="宋体" w:eastAsia="宋体" w:hAnsi="宋体" w:cs="宋体"/>
                <w:color w:val="666666"/>
                <w:kern w:val="0"/>
                <w:szCs w:val="21"/>
              </w:rPr>
            </w:pPr>
            <w:r w:rsidRPr="00972F8E">
              <w:rPr>
                <w:rFonts w:ascii="宋体" w:eastAsia="宋体" w:hAnsi="宋体" w:cs="宋体" w:hint="eastAsia"/>
                <w:color w:val="666666"/>
                <w:kern w:val="0"/>
                <w:szCs w:val="21"/>
              </w:rPr>
              <w:t>12000</w:t>
            </w:r>
          </w:p>
        </w:tc>
      </w:tr>
    </w:tbl>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b/>
          <w:bCs/>
          <w:color w:val="333333"/>
          <w:kern w:val="0"/>
          <w:szCs w:val="21"/>
        </w:rPr>
        <w:t>注：原则上非全日制硕士研究生招收在职定向就业人员。</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我校全日制和非全日制硕士研究生的学制均为3年。全日制硕士研究生要求全脱产在校学习，非全日制硕士研究生可在从事其他职业或者社会实践的同时按学校要求进行非脱产学习。</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全日制和非全日制研究生毕业时，学校根据其修业年限、学业成绩等，均按照国家有关规定发给相应的、注明学习方式的毕业证书；其学业水平达到国家规定的学位标准，可以申请授予相应的学位证书。全日制和非全日制研究生实行相同的考试招生政策和培养标准，其学历学位证书具有同等法律地位和相同效力。</w:t>
      </w:r>
    </w:p>
    <w:p w:rsidR="00972F8E" w:rsidRPr="00972F8E" w:rsidRDefault="00972F8E" w:rsidP="00972F8E">
      <w:pPr>
        <w:widowControl/>
        <w:spacing w:line="400" w:lineRule="atLeast"/>
        <w:jc w:val="left"/>
        <w:rPr>
          <w:rFonts w:ascii="宋体" w:eastAsia="宋体" w:hAnsi="宋体" w:cs="宋体" w:hint="eastAsia"/>
          <w:color w:val="333333"/>
          <w:kern w:val="0"/>
          <w:sz w:val="28"/>
          <w:szCs w:val="28"/>
        </w:rPr>
      </w:pPr>
      <w:r w:rsidRPr="00972F8E">
        <w:rPr>
          <w:rFonts w:ascii="宋体" w:eastAsia="宋体" w:hAnsi="宋体" w:cs="宋体" w:hint="eastAsia"/>
          <w:b/>
          <w:bCs/>
          <w:color w:val="333333"/>
          <w:kern w:val="0"/>
          <w:sz w:val="28"/>
          <w:szCs w:val="28"/>
        </w:rPr>
        <w:t>八、其他有关事项</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（一）2021年硕士研究生招生考试网上报名、网上确认（现场确认）、初试等具体时间安排详见</w:t>
      </w:r>
      <w:hyperlink r:id="rId7" w:tgtFrame="_blank" w:tooltip="教育部关于印发《2021年全国硕士研究生招生工作管理规定》的通知" w:history="1">
        <w:r w:rsidRPr="00972F8E">
          <w:rPr>
            <w:rFonts w:ascii="宋体" w:eastAsia="宋体" w:hAnsi="宋体" w:cs="宋体" w:hint="eastAsia"/>
            <w:color w:val="FF0000"/>
            <w:kern w:val="0"/>
            <w:szCs w:val="21"/>
            <w:u w:val="single"/>
          </w:rPr>
          <w:t>《教育部关于印发&lt;2021年全国硕士研究生招生工作管理规定&gt;的通知》</w:t>
        </w:r>
      </w:hyperlink>
      <w:r w:rsidRPr="00972F8E">
        <w:rPr>
          <w:rFonts w:ascii="宋体" w:eastAsia="宋体" w:hAnsi="宋体" w:cs="宋体" w:hint="eastAsia"/>
          <w:color w:val="333333"/>
          <w:kern w:val="0"/>
          <w:szCs w:val="21"/>
        </w:rPr>
        <w:t>第四章及第六章；我校复试采用笔试与面试（含外语听力及口语）相结合方式进行。其中，同等学力考生还须参加我校组织的加试。</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（二）初试自主命题科目、复试与加试科目的参考书目详见</w:t>
      </w:r>
      <w:hyperlink r:id="rId8" w:tgtFrame="_blank" w:history="1">
        <w:r w:rsidRPr="00972F8E">
          <w:rPr>
            <w:rFonts w:ascii="宋体" w:eastAsia="宋体" w:hAnsi="宋体" w:cs="宋体" w:hint="eastAsia"/>
            <w:color w:val="FF0000"/>
            <w:kern w:val="0"/>
            <w:szCs w:val="21"/>
            <w:u w:val="single"/>
          </w:rPr>
          <w:t>招生专业目录</w:t>
        </w:r>
      </w:hyperlink>
      <w:r w:rsidRPr="00972F8E">
        <w:rPr>
          <w:rFonts w:ascii="宋体" w:eastAsia="宋体" w:hAnsi="宋体" w:cs="宋体" w:hint="eastAsia"/>
          <w:color w:val="333333"/>
          <w:kern w:val="0"/>
          <w:szCs w:val="21"/>
        </w:rPr>
        <w:t>，复试时间及相关事项将在我校研究生院网站予以公布。</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（三）为增进校际间人才交流，改善学缘结构，我校将优先接收外校推荐免试生。</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lastRenderedPageBreak/>
        <w:t>（四）学校2021年度申请退役大学生士兵专项招生计划15名（具体计划数以教育部批复为准），各学科专业均可招收，欢迎符合该专项计划报考条件的考生报考。</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（五）有关研究生招生的最新信息将在我校研究生院网站发布，请考生随时关注。</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（六）研究生招生简章如有与教育部新出台的招生政策不符的，以教育部新政策为准。</w:t>
      </w:r>
    </w:p>
    <w:p w:rsidR="00972F8E" w:rsidRPr="00972F8E" w:rsidRDefault="00972F8E" w:rsidP="00972F8E">
      <w:pPr>
        <w:widowControl/>
        <w:spacing w:line="400" w:lineRule="atLeast"/>
        <w:jc w:val="left"/>
        <w:rPr>
          <w:rFonts w:ascii="宋体" w:eastAsia="宋体" w:hAnsi="宋体" w:cs="宋体" w:hint="eastAsia"/>
          <w:color w:val="333333"/>
          <w:kern w:val="0"/>
          <w:sz w:val="28"/>
          <w:szCs w:val="28"/>
        </w:rPr>
      </w:pPr>
      <w:r w:rsidRPr="00972F8E">
        <w:rPr>
          <w:rFonts w:ascii="宋体" w:eastAsia="宋体" w:hAnsi="宋体" w:cs="宋体" w:hint="eastAsia"/>
          <w:b/>
          <w:bCs/>
          <w:color w:val="333333"/>
          <w:kern w:val="0"/>
          <w:sz w:val="28"/>
          <w:szCs w:val="28"/>
        </w:rPr>
        <w:t>九、联系方式</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通信地址：江西省南昌市红谷滩新区丰和南大道696号南昌航空大学研究生院研究生招生办公室（逸夫楼217室）</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联系人：王老师</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联系电话：0791-83863725</w:t>
      </w:r>
    </w:p>
    <w:p w:rsidR="00972F8E" w:rsidRPr="00972F8E" w:rsidRDefault="00972F8E" w:rsidP="00972F8E">
      <w:pPr>
        <w:widowControl/>
        <w:spacing w:line="400" w:lineRule="atLeast"/>
        <w:ind w:firstLine="418"/>
        <w:jc w:val="left"/>
        <w:rPr>
          <w:rFonts w:ascii="宋体" w:eastAsia="宋体" w:hAnsi="宋体" w:cs="宋体" w:hint="eastAsia"/>
          <w:color w:val="333333"/>
          <w:kern w:val="0"/>
          <w:szCs w:val="21"/>
        </w:rPr>
      </w:pPr>
      <w:r w:rsidRPr="00972F8E">
        <w:rPr>
          <w:rFonts w:ascii="宋体" w:eastAsia="宋体" w:hAnsi="宋体" w:cs="宋体" w:hint="eastAsia"/>
          <w:color w:val="333333"/>
          <w:kern w:val="0"/>
          <w:szCs w:val="21"/>
        </w:rPr>
        <w:t>研究生院网址：</w:t>
      </w:r>
      <w:hyperlink r:id="rId9" w:history="1">
        <w:r w:rsidRPr="00972F8E">
          <w:rPr>
            <w:rFonts w:ascii="宋体" w:eastAsia="宋体" w:hAnsi="宋体" w:cs="宋体" w:hint="eastAsia"/>
            <w:color w:val="0000FF"/>
            <w:kern w:val="0"/>
            <w:szCs w:val="21"/>
            <w:u w:val="single"/>
          </w:rPr>
          <w:t>http://yjs.nchu.edu.cn/</w:t>
        </w:r>
      </w:hyperlink>
    </w:p>
    <w:p w:rsidR="00972F8E" w:rsidRPr="00972F8E" w:rsidRDefault="00972F8E" w:rsidP="00972F8E">
      <w:pPr>
        <w:widowControl/>
        <w:spacing w:before="100" w:beforeAutospacing="1" w:after="210" w:line="480" w:lineRule="auto"/>
        <w:jc w:val="left"/>
        <w:rPr>
          <w:rFonts w:ascii="微软雅黑" w:eastAsia="微软雅黑" w:hAnsi="微软雅黑" w:cs="宋体" w:hint="eastAsia"/>
          <w:color w:val="333333"/>
          <w:kern w:val="0"/>
          <w:szCs w:val="21"/>
        </w:rPr>
      </w:pPr>
      <w:r w:rsidRPr="00972F8E">
        <w:rPr>
          <w:rFonts w:ascii="微软雅黑" w:eastAsia="微软雅黑" w:hAnsi="微软雅黑" w:cs="宋体" w:hint="eastAsia"/>
          <w:b/>
          <w:bCs/>
          <w:color w:val="333333"/>
          <w:kern w:val="0"/>
          <w:sz w:val="29"/>
          <w:szCs w:val="29"/>
        </w:rPr>
        <w:t>   </w:t>
      </w:r>
    </w:p>
    <w:p w:rsidR="00F318E9" w:rsidRPr="00972F8E" w:rsidRDefault="00F318E9" w:rsidP="0070231B">
      <w:pPr>
        <w:rPr>
          <w:rFonts w:ascii="Times New Roman" w:eastAsia="宋体" w:hAnsi="Times New Roman" w:cs="Times New Roman"/>
          <w:color w:val="000000"/>
        </w:rPr>
      </w:pPr>
      <w:bookmarkStart w:id="0" w:name="_GoBack"/>
      <w:bookmarkEnd w:id="0"/>
    </w:p>
    <w:p w:rsidR="00F318E9" w:rsidRDefault="00F318E9" w:rsidP="0070231B">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F318E9" w:rsidRDefault="00F318E9" w:rsidP="0070231B">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F318E9" w:rsidRDefault="00F318E9" w:rsidP="0070231B">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70231B" w:rsidRPr="0070231B" w:rsidRDefault="0070231B" w:rsidP="0070231B">
      <w:pPr>
        <w:rPr>
          <w:rFonts w:ascii="Times New Roman" w:eastAsia="宋体" w:hAnsi="Times New Roman" w:cs="Times New Roman"/>
          <w:color w:val="000000"/>
        </w:rPr>
      </w:pPr>
    </w:p>
    <w:sectPr w:rsidR="0070231B" w:rsidRPr="007023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F77" w:rsidRDefault="00555F77" w:rsidP="0070231B">
      <w:r>
        <w:separator/>
      </w:r>
    </w:p>
  </w:endnote>
  <w:endnote w:type="continuationSeparator" w:id="0">
    <w:p w:rsidR="00555F77" w:rsidRDefault="00555F77" w:rsidP="0070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F77" w:rsidRDefault="00555F77" w:rsidP="0070231B">
      <w:r>
        <w:separator/>
      </w:r>
    </w:p>
  </w:footnote>
  <w:footnote w:type="continuationSeparator" w:id="0">
    <w:p w:rsidR="00555F77" w:rsidRDefault="00555F77" w:rsidP="00702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E76"/>
    <w:rsid w:val="00555F77"/>
    <w:rsid w:val="00575716"/>
    <w:rsid w:val="0070231B"/>
    <w:rsid w:val="007D2E76"/>
    <w:rsid w:val="00972F8E"/>
    <w:rsid w:val="00F31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2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231B"/>
    <w:rPr>
      <w:sz w:val="18"/>
      <w:szCs w:val="18"/>
    </w:rPr>
  </w:style>
  <w:style w:type="paragraph" w:styleId="a4">
    <w:name w:val="footer"/>
    <w:basedOn w:val="a"/>
    <w:link w:val="Char0"/>
    <w:uiPriority w:val="99"/>
    <w:unhideWhenUsed/>
    <w:rsid w:val="0070231B"/>
    <w:pPr>
      <w:tabs>
        <w:tab w:val="center" w:pos="4153"/>
        <w:tab w:val="right" w:pos="8306"/>
      </w:tabs>
      <w:snapToGrid w:val="0"/>
      <w:jc w:val="left"/>
    </w:pPr>
    <w:rPr>
      <w:sz w:val="18"/>
      <w:szCs w:val="18"/>
    </w:rPr>
  </w:style>
  <w:style w:type="character" w:customStyle="1" w:styleId="Char0">
    <w:name w:val="页脚 Char"/>
    <w:basedOn w:val="a0"/>
    <w:link w:val="a4"/>
    <w:uiPriority w:val="99"/>
    <w:rsid w:val="007023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2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231B"/>
    <w:rPr>
      <w:sz w:val="18"/>
      <w:szCs w:val="18"/>
    </w:rPr>
  </w:style>
  <w:style w:type="paragraph" w:styleId="a4">
    <w:name w:val="footer"/>
    <w:basedOn w:val="a"/>
    <w:link w:val="Char0"/>
    <w:uiPriority w:val="99"/>
    <w:unhideWhenUsed/>
    <w:rsid w:val="0070231B"/>
    <w:pPr>
      <w:tabs>
        <w:tab w:val="center" w:pos="4153"/>
        <w:tab w:val="right" w:pos="8306"/>
      </w:tabs>
      <w:snapToGrid w:val="0"/>
      <w:jc w:val="left"/>
    </w:pPr>
    <w:rPr>
      <w:sz w:val="18"/>
      <w:szCs w:val="18"/>
    </w:rPr>
  </w:style>
  <w:style w:type="character" w:customStyle="1" w:styleId="Char0">
    <w:name w:val="页脚 Char"/>
    <w:basedOn w:val="a0"/>
    <w:link w:val="a4"/>
    <w:uiPriority w:val="99"/>
    <w:rsid w:val="007023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57750">
      <w:bodyDiv w:val="1"/>
      <w:marLeft w:val="0"/>
      <w:marRight w:val="0"/>
      <w:marTop w:val="0"/>
      <w:marBottom w:val="0"/>
      <w:divBdr>
        <w:top w:val="none" w:sz="0" w:space="0" w:color="auto"/>
        <w:left w:val="none" w:sz="0" w:space="0" w:color="auto"/>
        <w:bottom w:val="none" w:sz="0" w:space="0" w:color="auto"/>
        <w:right w:val="none" w:sz="0" w:space="0" w:color="auto"/>
      </w:divBdr>
      <w:divsChild>
        <w:div w:id="272631877">
          <w:marLeft w:val="0"/>
          <w:marRight w:val="0"/>
          <w:marTop w:val="0"/>
          <w:marBottom w:val="0"/>
          <w:divBdr>
            <w:top w:val="none" w:sz="0" w:space="0" w:color="auto"/>
            <w:left w:val="none" w:sz="0" w:space="0" w:color="auto"/>
            <w:bottom w:val="none" w:sz="0" w:space="0" w:color="auto"/>
            <w:right w:val="none" w:sz="0" w:space="0" w:color="auto"/>
          </w:divBdr>
          <w:divsChild>
            <w:div w:id="1223908249">
              <w:marLeft w:val="0"/>
              <w:marRight w:val="0"/>
              <w:marTop w:val="0"/>
              <w:marBottom w:val="0"/>
              <w:divBdr>
                <w:top w:val="none" w:sz="0" w:space="0" w:color="auto"/>
                <w:left w:val="none" w:sz="0" w:space="0" w:color="auto"/>
                <w:bottom w:val="none" w:sz="0" w:space="0" w:color="auto"/>
                <w:right w:val="none" w:sz="0" w:space="0" w:color="auto"/>
              </w:divBdr>
              <w:divsChild>
                <w:div w:id="1956599773">
                  <w:marLeft w:val="0"/>
                  <w:marRight w:val="0"/>
                  <w:marTop w:val="0"/>
                  <w:marBottom w:val="0"/>
                  <w:divBdr>
                    <w:top w:val="none" w:sz="0" w:space="0" w:color="auto"/>
                    <w:left w:val="none" w:sz="0" w:space="0" w:color="auto"/>
                    <w:bottom w:val="none" w:sz="0" w:space="0" w:color="auto"/>
                    <w:right w:val="none" w:sz="0" w:space="0" w:color="auto"/>
                  </w:divBdr>
                  <w:divsChild>
                    <w:div w:id="603418932">
                      <w:marLeft w:val="0"/>
                      <w:marRight w:val="0"/>
                      <w:marTop w:val="0"/>
                      <w:marBottom w:val="0"/>
                      <w:divBdr>
                        <w:top w:val="none" w:sz="0" w:space="0" w:color="auto"/>
                        <w:left w:val="none" w:sz="0" w:space="0" w:color="auto"/>
                        <w:bottom w:val="none" w:sz="0" w:space="0" w:color="auto"/>
                        <w:right w:val="none" w:sz="0" w:space="0" w:color="auto"/>
                      </w:divBdr>
                      <w:divsChild>
                        <w:div w:id="924388277">
                          <w:marLeft w:val="0"/>
                          <w:marRight w:val="0"/>
                          <w:marTop w:val="0"/>
                          <w:marBottom w:val="0"/>
                          <w:divBdr>
                            <w:top w:val="none" w:sz="0" w:space="0" w:color="auto"/>
                            <w:left w:val="none" w:sz="0" w:space="0" w:color="auto"/>
                            <w:bottom w:val="none" w:sz="0" w:space="0" w:color="auto"/>
                            <w:right w:val="none" w:sz="0" w:space="0" w:color="auto"/>
                          </w:divBdr>
                          <w:divsChild>
                            <w:div w:id="538589683">
                              <w:marLeft w:val="0"/>
                              <w:marRight w:val="0"/>
                              <w:marTop w:val="0"/>
                              <w:marBottom w:val="0"/>
                              <w:divBdr>
                                <w:top w:val="none" w:sz="0" w:space="0" w:color="auto"/>
                                <w:left w:val="none" w:sz="0" w:space="0" w:color="auto"/>
                                <w:bottom w:val="none" w:sz="0" w:space="0" w:color="auto"/>
                                <w:right w:val="none" w:sz="0" w:space="0" w:color="auto"/>
                              </w:divBdr>
                              <w:divsChild>
                                <w:div w:id="1127552957">
                                  <w:marLeft w:val="0"/>
                                  <w:marRight w:val="0"/>
                                  <w:marTop w:val="0"/>
                                  <w:marBottom w:val="0"/>
                                  <w:divBdr>
                                    <w:top w:val="single" w:sz="6" w:space="0" w:color="F8F8F8"/>
                                    <w:left w:val="single" w:sz="6" w:space="0" w:color="F8F8F8"/>
                                    <w:bottom w:val="single" w:sz="6" w:space="0" w:color="F8F8F8"/>
                                    <w:right w:val="single" w:sz="6" w:space="0" w:color="F8F8F8"/>
                                  </w:divBdr>
                                </w:div>
                                <w:div w:id="401372795">
                                  <w:marLeft w:val="0"/>
                                  <w:marRight w:val="0"/>
                                  <w:marTop w:val="0"/>
                                  <w:marBottom w:val="0"/>
                                  <w:divBdr>
                                    <w:top w:val="single" w:sz="6" w:space="0" w:color="F8F8F8"/>
                                    <w:left w:val="single" w:sz="6" w:space="0" w:color="F8F8F8"/>
                                    <w:bottom w:val="single" w:sz="6" w:space="0" w:color="F8F8F8"/>
                                    <w:right w:val="single" w:sz="6" w:space="0" w:color="F8F8F8"/>
                                  </w:divBdr>
                                </w:div>
                                <w:div w:id="1540971077">
                                  <w:marLeft w:val="0"/>
                                  <w:marRight w:val="0"/>
                                  <w:marTop w:val="0"/>
                                  <w:marBottom w:val="0"/>
                                  <w:divBdr>
                                    <w:top w:val="single" w:sz="6" w:space="0" w:color="F8F8F8"/>
                                    <w:left w:val="single" w:sz="6" w:space="0" w:color="F8F8F8"/>
                                    <w:bottom w:val="single" w:sz="6" w:space="0" w:color="F8F8F8"/>
                                    <w:right w:val="single" w:sz="6" w:space="0" w:color="F8F8F8"/>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js.nchu.edu.cn/zsgz/zsjz/content_90256" TargetMode="External"/><Relationship Id="rId3" Type="http://schemas.openxmlformats.org/officeDocument/2006/relationships/settings" Target="settings.xml"/><Relationship Id="rId7" Type="http://schemas.openxmlformats.org/officeDocument/2006/relationships/hyperlink" Target="https://yz.chsi.com.cn/kyzx/jybzc/202009/20200904/197291887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js.nch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785</Words>
  <Characters>4479</Characters>
  <Application>Microsoft Office Word</Application>
  <DocSecurity>0</DocSecurity>
  <Lines>37</Lines>
  <Paragraphs>10</Paragraphs>
  <ScaleCrop>false</ScaleCrop>
  <Company>微软中国</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2020-10-11T06:12:00Z</dcterms:created>
  <dcterms:modified xsi:type="dcterms:W3CDTF">2020-10-11T06:12:00Z</dcterms:modified>
</cp:coreProperties>
</file>